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9374D" w14:textId="77777777" w:rsidR="003D01FB" w:rsidRPr="00C41AB5" w:rsidRDefault="00C41AB5" w:rsidP="00C41AB5">
      <w:pPr>
        <w:pStyle w:val="NoSpacing"/>
        <w:jc w:val="center"/>
        <w:rPr>
          <w:b/>
          <w:caps/>
          <w:u w:val="single"/>
        </w:rPr>
      </w:pPr>
      <w:r w:rsidRPr="00C41AB5">
        <w:rPr>
          <w:b/>
          <w:caps/>
          <w:u w:val="single"/>
        </w:rPr>
        <w:t>A</w:t>
      </w:r>
      <w:r w:rsidR="003D01FB" w:rsidRPr="00C41AB5">
        <w:rPr>
          <w:b/>
          <w:caps/>
          <w:u w:val="single"/>
        </w:rPr>
        <w:t>greement for services</w:t>
      </w:r>
    </w:p>
    <w:p w14:paraId="758B7AFB" w14:textId="77777777" w:rsidR="00C41AB5" w:rsidRPr="007142F4" w:rsidRDefault="00C41AB5" w:rsidP="00C41AB5">
      <w:pPr>
        <w:pStyle w:val="NoSpacing"/>
      </w:pPr>
    </w:p>
    <w:p w14:paraId="02F9F2B0" w14:textId="77777777" w:rsidR="003D01FB" w:rsidRDefault="003D01FB" w:rsidP="003D01FB">
      <w:pPr>
        <w:pStyle w:val="BodyTextFirstIndent"/>
        <w:jc w:val="left"/>
      </w:pPr>
      <w:r w:rsidRPr="007142F4">
        <w:rPr>
          <w:b/>
        </w:rPr>
        <w:t>THIS AGREEMENT FOR SERVICES</w:t>
      </w:r>
      <w:r>
        <w:t xml:space="preserve"> (“Agreement”) is made and entered into </w:t>
      </w:r>
      <w:r w:rsidR="00B40624">
        <w:t>effective as of the date Client has accepted its terms by clicking below</w:t>
      </w:r>
      <w:r w:rsidR="00A625F7">
        <w:t xml:space="preserve"> (“</w:t>
      </w:r>
      <w:r w:rsidR="00A625F7" w:rsidRPr="00A625F7">
        <w:rPr>
          <w:u w:val="single"/>
        </w:rPr>
        <w:t>Effective Date</w:t>
      </w:r>
      <w:r w:rsidR="00A625F7">
        <w:t>”)</w:t>
      </w:r>
      <w:r>
        <w:t>, by and between Bus Stop Mamas, LLC (“</w:t>
      </w:r>
      <w:r w:rsidRPr="007142F4">
        <w:rPr>
          <w:u w:val="single"/>
        </w:rPr>
        <w:t>BSM</w:t>
      </w:r>
      <w:r w:rsidR="00B40624">
        <w:t>”) and you</w:t>
      </w:r>
      <w:r w:rsidR="00077FB0">
        <w:t xml:space="preserve"> </w:t>
      </w:r>
      <w:r>
        <w:t>(“</w:t>
      </w:r>
      <w:r w:rsidRPr="007142F4">
        <w:rPr>
          <w:u w:val="single"/>
        </w:rPr>
        <w:t>Client</w:t>
      </w:r>
      <w:r>
        <w:t>”) (collectively, BSM and Client are referred to as the “</w:t>
      </w:r>
      <w:r w:rsidRPr="007142F4">
        <w:rPr>
          <w:u w:val="single"/>
        </w:rPr>
        <w:t>Parties</w:t>
      </w:r>
      <w:r>
        <w:t xml:space="preserve">”).  </w:t>
      </w:r>
    </w:p>
    <w:p w14:paraId="49DFF505" w14:textId="77777777" w:rsidR="003D01FB" w:rsidRPr="007142F4" w:rsidRDefault="003D01FB" w:rsidP="003D01FB">
      <w:pPr>
        <w:pStyle w:val="BodyTextFirstIndent"/>
        <w:ind w:firstLine="0"/>
        <w:jc w:val="center"/>
        <w:rPr>
          <w:b/>
        </w:rPr>
      </w:pPr>
      <w:r>
        <w:rPr>
          <w:b/>
        </w:rPr>
        <w:t>BACKGROUND:</w:t>
      </w:r>
    </w:p>
    <w:p w14:paraId="2FC7ABAB" w14:textId="77777777" w:rsidR="003D01FB" w:rsidRDefault="003D01FB" w:rsidP="003D01FB">
      <w:pPr>
        <w:pStyle w:val="BodyTextFirstIndent"/>
        <w:jc w:val="left"/>
      </w:pPr>
      <w:r>
        <w:t>A.</w:t>
      </w:r>
      <w:r>
        <w:tab/>
        <w:t xml:space="preserve">BSM is engaged in the business of identifying and introducing potential </w:t>
      </w:r>
      <w:r w:rsidR="00916A11">
        <w:t xml:space="preserve">candidates to </w:t>
      </w:r>
      <w:r w:rsidR="00A63558">
        <w:t xml:space="preserve">organizations </w:t>
      </w:r>
      <w:r w:rsidR="00F354F1">
        <w:t>offering project-based, temporary, or permanent work assignments</w:t>
      </w:r>
      <w:r w:rsidR="00916A11">
        <w:t xml:space="preserve">. </w:t>
      </w:r>
    </w:p>
    <w:p w14:paraId="1A118A5A" w14:textId="77777777" w:rsidR="003D01FB" w:rsidRDefault="003D01FB" w:rsidP="003D01FB">
      <w:pPr>
        <w:pStyle w:val="BodyTextFirstIndent"/>
        <w:jc w:val="left"/>
      </w:pPr>
      <w:r>
        <w:t>B.</w:t>
      </w:r>
      <w:r>
        <w:tab/>
        <w:t xml:space="preserve">Client desires to </w:t>
      </w:r>
      <w:r w:rsidR="00EC011A">
        <w:t>retain</w:t>
      </w:r>
      <w:r>
        <w:t xml:space="preserve"> BSM to make such identifications and introductions. </w:t>
      </w:r>
    </w:p>
    <w:p w14:paraId="2DF56042" w14:textId="77777777" w:rsidR="003D01FB" w:rsidRDefault="003D01FB" w:rsidP="003D01FB">
      <w:pPr>
        <w:pStyle w:val="BodyTextFirstIndent"/>
        <w:jc w:val="left"/>
      </w:pPr>
      <w:r>
        <w:t>Accordingly, the Parties agree as follows:</w:t>
      </w:r>
    </w:p>
    <w:p w14:paraId="397A9B58" w14:textId="77777777" w:rsidR="003D01FB" w:rsidRPr="00CC1AE7" w:rsidRDefault="003D01FB" w:rsidP="003D01FB">
      <w:pPr>
        <w:pStyle w:val="BodyTextFirstIndent"/>
        <w:ind w:firstLine="0"/>
        <w:jc w:val="center"/>
        <w:rPr>
          <w:b/>
        </w:rPr>
      </w:pPr>
      <w:r>
        <w:rPr>
          <w:b/>
        </w:rPr>
        <w:t>AGREEMENT:</w:t>
      </w:r>
    </w:p>
    <w:p w14:paraId="2FA650DE" w14:textId="77777777" w:rsidR="003D01FB" w:rsidRDefault="003D01FB" w:rsidP="003D01FB">
      <w:pPr>
        <w:pStyle w:val="Heading1"/>
        <w:jc w:val="left"/>
        <w:rPr>
          <w:u w:val="none"/>
        </w:rPr>
      </w:pPr>
      <w:r w:rsidRPr="004E17E2">
        <w:rPr>
          <w:u w:val="none"/>
        </w:rPr>
        <w:t xml:space="preserve">Services.  </w:t>
      </w:r>
      <w:r w:rsidRPr="004E17E2">
        <w:rPr>
          <w:b w:val="0"/>
          <w:u w:val="none"/>
        </w:rPr>
        <w:t xml:space="preserve">Client will provide </w:t>
      </w:r>
      <w:r>
        <w:rPr>
          <w:b w:val="0"/>
          <w:u w:val="none"/>
        </w:rPr>
        <w:t>BSM</w:t>
      </w:r>
      <w:r w:rsidRPr="004E17E2">
        <w:rPr>
          <w:b w:val="0"/>
          <w:u w:val="none"/>
        </w:rPr>
        <w:t xml:space="preserve"> with a </w:t>
      </w:r>
      <w:r>
        <w:rPr>
          <w:b w:val="0"/>
          <w:u w:val="none"/>
        </w:rPr>
        <w:t xml:space="preserve">summary </w:t>
      </w:r>
      <w:r w:rsidRPr="004E17E2">
        <w:rPr>
          <w:b w:val="0"/>
          <w:u w:val="none"/>
        </w:rPr>
        <w:t>of the</w:t>
      </w:r>
      <w:r w:rsidR="00C8569E">
        <w:rPr>
          <w:b w:val="0"/>
          <w:u w:val="none"/>
        </w:rPr>
        <w:t xml:space="preserve"> </w:t>
      </w:r>
      <w:r w:rsidR="00C8569E" w:rsidRPr="00C8569E">
        <w:rPr>
          <w:b w:val="0"/>
          <w:u w:val="none"/>
        </w:rPr>
        <w:t>project-based, temporary, or permanent work assignment</w:t>
      </w:r>
      <w:r w:rsidR="00C8569E">
        <w:rPr>
          <w:b w:val="0"/>
          <w:u w:val="none"/>
        </w:rPr>
        <w:t xml:space="preserve"> (the “</w:t>
      </w:r>
      <w:r w:rsidR="00C8569E" w:rsidRPr="00D42622">
        <w:rPr>
          <w:b w:val="0"/>
        </w:rPr>
        <w:t>Assignment</w:t>
      </w:r>
      <w:r w:rsidR="00C8569E">
        <w:rPr>
          <w:b w:val="0"/>
          <w:u w:val="none"/>
        </w:rPr>
        <w:t>”) it is seeking to fill, along with a summary of its preferred qualifications for potential candidates.</w:t>
      </w:r>
      <w:r w:rsidRPr="004E17E2">
        <w:rPr>
          <w:b w:val="0"/>
          <w:u w:val="none"/>
        </w:rPr>
        <w:t xml:space="preserve">  </w:t>
      </w:r>
      <w:r>
        <w:rPr>
          <w:b w:val="0"/>
          <w:u w:val="none"/>
        </w:rPr>
        <w:t xml:space="preserve">BSM </w:t>
      </w:r>
      <w:r w:rsidRPr="004E17E2">
        <w:rPr>
          <w:b w:val="0"/>
          <w:u w:val="none"/>
        </w:rPr>
        <w:t xml:space="preserve">will attempt to locate candidates with the necessary qualifications, and will provide Client with information regarding potential candidates believed to possess these qualifications.  </w:t>
      </w:r>
      <w:r>
        <w:rPr>
          <w:b w:val="0"/>
          <w:u w:val="none"/>
        </w:rPr>
        <w:t xml:space="preserve">Client is </w:t>
      </w:r>
      <w:r w:rsidRPr="004E17E2">
        <w:rPr>
          <w:b w:val="0"/>
          <w:u w:val="none"/>
        </w:rPr>
        <w:t>free to pursue or reject</w:t>
      </w:r>
      <w:r>
        <w:rPr>
          <w:b w:val="0"/>
          <w:u w:val="none"/>
        </w:rPr>
        <w:t xml:space="preserve"> any of the candidates</w:t>
      </w:r>
      <w:r w:rsidR="00A625F7">
        <w:rPr>
          <w:b w:val="0"/>
          <w:u w:val="none"/>
        </w:rPr>
        <w:t>; however, Client agrees that it will only consider candidates from BSM for the Assignment during the first fourteen (14) days following the Effective Date.</w:t>
      </w:r>
      <w:r w:rsidRPr="004E17E2">
        <w:rPr>
          <w:b w:val="0"/>
          <w:u w:val="none"/>
        </w:rPr>
        <w:t xml:space="preserve"> </w:t>
      </w:r>
      <w:r>
        <w:rPr>
          <w:b w:val="0"/>
          <w:u w:val="none"/>
        </w:rPr>
        <w:t xml:space="preserve">Any candidate presented to Client will be referred to as a </w:t>
      </w:r>
      <w:r w:rsidRPr="004E17E2">
        <w:rPr>
          <w:b w:val="0"/>
          <w:u w:val="none"/>
        </w:rPr>
        <w:t>“</w:t>
      </w:r>
      <w:r w:rsidRPr="004E17E2">
        <w:rPr>
          <w:b w:val="0"/>
        </w:rPr>
        <w:t>Potential Candidate</w:t>
      </w:r>
      <w:r w:rsidRPr="004E17E2">
        <w:rPr>
          <w:b w:val="0"/>
          <w:u w:val="none"/>
        </w:rPr>
        <w:t>.”</w:t>
      </w:r>
    </w:p>
    <w:p w14:paraId="1A791C95" w14:textId="77777777" w:rsidR="003D01FB" w:rsidRPr="00F72B12" w:rsidRDefault="003D01FB" w:rsidP="00523BF7">
      <w:pPr>
        <w:pStyle w:val="Heading2"/>
        <w:numPr>
          <w:ilvl w:val="0"/>
          <w:numId w:val="0"/>
        </w:numPr>
        <w:ind w:firstLine="720"/>
        <w:jc w:val="left"/>
        <w:rPr>
          <w:b/>
        </w:rPr>
      </w:pPr>
      <w:r w:rsidRPr="00C637C0">
        <w:t>2.</w:t>
      </w:r>
      <w:r>
        <w:rPr>
          <w:b/>
        </w:rPr>
        <w:tab/>
      </w:r>
      <w:r>
        <w:rPr>
          <w:rFonts w:cs="Times New Roman"/>
        </w:rPr>
        <w:t xml:space="preserve"> </w:t>
      </w:r>
      <w:r w:rsidRPr="00740102">
        <w:rPr>
          <w:b/>
        </w:rPr>
        <w:t>Fees and Billing.</w:t>
      </w:r>
      <w:r>
        <w:t xml:space="preserve"> If Client </w:t>
      </w:r>
      <w:r w:rsidR="00523BF7">
        <w:t xml:space="preserve">retains </w:t>
      </w:r>
      <w:r>
        <w:t>a Potential Candidate as an employee, independent contractor, or in some other capacity</w:t>
      </w:r>
      <w:r w:rsidR="00523BF7">
        <w:t xml:space="preserve"> within 12 months after BSM refers the Potential Candidate to the Client</w:t>
      </w:r>
      <w:r>
        <w:t>, Client agrees to pay BSM a fee</w:t>
      </w:r>
      <w:r w:rsidR="00523BF7">
        <w:t xml:space="preserve"> as applicable and as set forth on the attached Exhibit A.</w:t>
      </w:r>
      <w:r>
        <w:t xml:space="preserve"> BSM shall have the option to review any pay records, timesheets, </w:t>
      </w:r>
      <w:r w:rsidR="00523BF7">
        <w:t xml:space="preserve">employment agreement, </w:t>
      </w:r>
      <w:r>
        <w:t>or other documents that may be necessary to verify the accuracy of the</w:t>
      </w:r>
      <w:r w:rsidR="00523BF7">
        <w:t xml:space="preserve"> f</w:t>
      </w:r>
      <w:r>
        <w:t>ee</w:t>
      </w:r>
      <w:r w:rsidR="00523BF7">
        <w:t xml:space="preserve"> that may be due</w:t>
      </w:r>
      <w:r>
        <w:t xml:space="preserve">. </w:t>
      </w:r>
      <w:r w:rsidR="001A618A">
        <w:t xml:space="preserve">Client agrees to notify BSM within seven (7) days following its retention of a Potential Candidate </w:t>
      </w:r>
      <w:r w:rsidR="00A625F7">
        <w:t xml:space="preserve">any time </w:t>
      </w:r>
      <w:r w:rsidR="001A618A">
        <w:t xml:space="preserve">within 12 months after BSM </w:t>
      </w:r>
      <w:r w:rsidR="00A625F7">
        <w:t>presents</w:t>
      </w:r>
      <w:r w:rsidR="001A618A">
        <w:t xml:space="preserve"> the Potential Candidate to the Client. </w:t>
      </w:r>
      <w:r>
        <w:t xml:space="preserve"> </w:t>
      </w:r>
    </w:p>
    <w:p w14:paraId="334A41FE" w14:textId="1E29671B" w:rsidR="00740102" w:rsidRDefault="00523BF7" w:rsidP="003D01FB">
      <w:pPr>
        <w:pStyle w:val="Heading1"/>
        <w:numPr>
          <w:ilvl w:val="0"/>
          <w:numId w:val="0"/>
        </w:numPr>
        <w:ind w:firstLine="720"/>
        <w:jc w:val="left"/>
        <w:rPr>
          <w:u w:val="none"/>
        </w:rPr>
      </w:pPr>
      <w:r>
        <w:rPr>
          <w:b w:val="0"/>
          <w:u w:val="none"/>
        </w:rPr>
        <w:t>3</w:t>
      </w:r>
      <w:r w:rsidR="003D01FB" w:rsidRPr="008E70B7">
        <w:rPr>
          <w:b w:val="0"/>
          <w:u w:val="none"/>
        </w:rPr>
        <w:t>.</w:t>
      </w:r>
      <w:r w:rsidR="003D01FB" w:rsidRPr="008E70B7">
        <w:rPr>
          <w:u w:val="none"/>
        </w:rPr>
        <w:tab/>
      </w:r>
      <w:r w:rsidR="00740102">
        <w:rPr>
          <w:u w:val="none"/>
        </w:rPr>
        <w:t>Guarantee.</w:t>
      </w:r>
      <w:r w:rsidR="00740102" w:rsidRPr="00102C05">
        <w:rPr>
          <w:b w:val="0"/>
          <w:u w:val="none"/>
        </w:rPr>
        <w:t xml:space="preserve">  </w:t>
      </w:r>
      <w:proofErr w:type="gramStart"/>
      <w:r w:rsidR="00740102" w:rsidRPr="00102C05">
        <w:rPr>
          <w:b w:val="0"/>
          <w:bCs w:val="0"/>
          <w:iCs/>
          <w:u w:val="none"/>
        </w:rPr>
        <w:t xml:space="preserve">In the event </w:t>
      </w:r>
      <w:r w:rsidR="00D42622">
        <w:rPr>
          <w:b w:val="0"/>
          <w:bCs w:val="0"/>
          <w:iCs/>
          <w:u w:val="none"/>
        </w:rPr>
        <w:t>that</w:t>
      </w:r>
      <w:proofErr w:type="gramEnd"/>
      <w:r w:rsidR="00D42622">
        <w:rPr>
          <w:b w:val="0"/>
          <w:bCs w:val="0"/>
          <w:iCs/>
          <w:u w:val="none"/>
        </w:rPr>
        <w:t xml:space="preserve"> </w:t>
      </w:r>
      <w:r w:rsidR="00740102" w:rsidRPr="00102C05">
        <w:rPr>
          <w:b w:val="0"/>
          <w:bCs w:val="0"/>
          <w:iCs/>
          <w:u w:val="none"/>
        </w:rPr>
        <w:t xml:space="preserve">the employment of a </w:t>
      </w:r>
      <w:r w:rsidR="00102C05">
        <w:rPr>
          <w:b w:val="0"/>
          <w:bCs w:val="0"/>
          <w:iCs/>
          <w:u w:val="none"/>
        </w:rPr>
        <w:t xml:space="preserve">permanent </w:t>
      </w:r>
      <w:r w:rsidR="00740102" w:rsidRPr="00102C05">
        <w:rPr>
          <w:b w:val="0"/>
          <w:bCs w:val="0"/>
          <w:iCs/>
          <w:u w:val="none"/>
        </w:rPr>
        <w:t>candidate referred to</w:t>
      </w:r>
      <w:r w:rsidR="00102C05">
        <w:rPr>
          <w:b w:val="0"/>
          <w:bCs w:val="0"/>
          <w:iCs/>
          <w:u w:val="none"/>
        </w:rPr>
        <w:t xml:space="preserve"> Client </w:t>
      </w:r>
      <w:r w:rsidR="00740102" w:rsidRPr="00102C05">
        <w:rPr>
          <w:b w:val="0"/>
          <w:bCs w:val="0"/>
          <w:iCs/>
          <w:u w:val="none"/>
        </w:rPr>
        <w:t xml:space="preserve">under this </w:t>
      </w:r>
      <w:r w:rsidR="00102C05">
        <w:rPr>
          <w:b w:val="0"/>
          <w:bCs w:val="0"/>
          <w:iCs/>
          <w:u w:val="none"/>
        </w:rPr>
        <w:t>A</w:t>
      </w:r>
      <w:r w:rsidR="00740102" w:rsidRPr="00102C05">
        <w:rPr>
          <w:b w:val="0"/>
          <w:bCs w:val="0"/>
          <w:iCs/>
          <w:u w:val="none"/>
        </w:rPr>
        <w:t>greement lasts less than</w:t>
      </w:r>
      <w:r w:rsidR="00102C05">
        <w:rPr>
          <w:b w:val="0"/>
          <w:bCs w:val="0"/>
          <w:iCs/>
          <w:u w:val="none"/>
        </w:rPr>
        <w:t xml:space="preserve"> </w:t>
      </w:r>
      <w:r w:rsidR="00FE3171">
        <w:rPr>
          <w:b w:val="0"/>
          <w:bCs w:val="0"/>
          <w:iCs/>
          <w:u w:val="none"/>
        </w:rPr>
        <w:t>9</w:t>
      </w:r>
      <w:r w:rsidR="00102C05">
        <w:rPr>
          <w:b w:val="0"/>
          <w:bCs w:val="0"/>
          <w:iCs/>
          <w:u w:val="none"/>
        </w:rPr>
        <w:t>0</w:t>
      </w:r>
      <w:r w:rsidR="00740102" w:rsidRPr="00102C05">
        <w:rPr>
          <w:b w:val="0"/>
          <w:bCs w:val="0"/>
          <w:iCs/>
          <w:u w:val="none"/>
        </w:rPr>
        <w:t xml:space="preserve"> calendar days, and provided that all fees and expenses relating to such </w:t>
      </w:r>
      <w:r w:rsidR="00102C05">
        <w:rPr>
          <w:b w:val="0"/>
          <w:bCs w:val="0"/>
          <w:iCs/>
          <w:u w:val="none"/>
        </w:rPr>
        <w:t>placement</w:t>
      </w:r>
      <w:r w:rsidR="00740102" w:rsidRPr="00102C05">
        <w:rPr>
          <w:b w:val="0"/>
          <w:bCs w:val="0"/>
          <w:iCs/>
          <w:u w:val="none"/>
        </w:rPr>
        <w:t xml:space="preserve"> have been paid,</w:t>
      </w:r>
      <w:r w:rsidR="00102C05">
        <w:rPr>
          <w:b w:val="0"/>
          <w:bCs w:val="0"/>
          <w:iCs/>
          <w:u w:val="none"/>
        </w:rPr>
        <w:t xml:space="preserve"> BSM</w:t>
      </w:r>
      <w:r w:rsidR="00740102" w:rsidRPr="00102C05">
        <w:rPr>
          <w:b w:val="0"/>
          <w:bCs w:val="0"/>
          <w:iCs/>
          <w:u w:val="none"/>
        </w:rPr>
        <w:t xml:space="preserve"> </w:t>
      </w:r>
      <w:r w:rsidR="00D42622">
        <w:rPr>
          <w:b w:val="0"/>
          <w:bCs w:val="0"/>
          <w:iCs/>
          <w:u w:val="none"/>
        </w:rPr>
        <w:t xml:space="preserve">will </w:t>
      </w:r>
      <w:r w:rsidR="00740102" w:rsidRPr="00102C05">
        <w:rPr>
          <w:b w:val="0"/>
          <w:bCs w:val="0"/>
          <w:iCs/>
          <w:u w:val="none"/>
        </w:rPr>
        <w:t>attempt to refer a replacement candidate for the same position at no additional charge to C</w:t>
      </w:r>
      <w:r w:rsidR="00102C05">
        <w:rPr>
          <w:b w:val="0"/>
          <w:bCs w:val="0"/>
          <w:iCs/>
          <w:u w:val="none"/>
        </w:rPr>
        <w:t>lient</w:t>
      </w:r>
      <w:r w:rsidR="00740102" w:rsidRPr="00102C05">
        <w:rPr>
          <w:b w:val="0"/>
          <w:bCs w:val="0"/>
          <w:iCs/>
          <w:u w:val="none"/>
        </w:rPr>
        <w:t xml:space="preserve">. </w:t>
      </w:r>
      <w:r w:rsidR="00102C05">
        <w:rPr>
          <w:b w:val="0"/>
          <w:bCs w:val="0"/>
          <w:iCs/>
          <w:u w:val="none"/>
        </w:rPr>
        <w:t xml:space="preserve">BSM’s </w:t>
      </w:r>
      <w:r w:rsidR="005A4944">
        <w:rPr>
          <w:b w:val="0"/>
          <w:bCs w:val="0"/>
          <w:iCs/>
          <w:u w:val="none"/>
        </w:rPr>
        <w:t>o</w:t>
      </w:r>
      <w:r w:rsidR="00740102" w:rsidRPr="00102C05">
        <w:rPr>
          <w:b w:val="0"/>
          <w:bCs w:val="0"/>
          <w:iCs/>
          <w:u w:val="none"/>
        </w:rPr>
        <w:t xml:space="preserve">bligation under this </w:t>
      </w:r>
      <w:r w:rsidR="00102C05">
        <w:rPr>
          <w:b w:val="0"/>
          <w:bCs w:val="0"/>
          <w:iCs/>
          <w:u w:val="none"/>
        </w:rPr>
        <w:t>A</w:t>
      </w:r>
      <w:r w:rsidR="00740102" w:rsidRPr="00102C05">
        <w:rPr>
          <w:b w:val="0"/>
          <w:bCs w:val="0"/>
          <w:iCs/>
          <w:u w:val="none"/>
        </w:rPr>
        <w:t>greement is limited to attempting to find a replacement candidate. No refund will be made if C</w:t>
      </w:r>
      <w:r w:rsidR="00102C05">
        <w:rPr>
          <w:b w:val="0"/>
          <w:bCs w:val="0"/>
          <w:iCs/>
          <w:u w:val="none"/>
        </w:rPr>
        <w:t>lient</w:t>
      </w:r>
      <w:r w:rsidR="00740102" w:rsidRPr="00102C05">
        <w:rPr>
          <w:b w:val="0"/>
          <w:bCs w:val="0"/>
          <w:iCs/>
          <w:u w:val="none"/>
        </w:rPr>
        <w:t xml:space="preserve"> hires a replacement from any source, or if C</w:t>
      </w:r>
      <w:r w:rsidR="00102C05">
        <w:rPr>
          <w:b w:val="0"/>
          <w:bCs w:val="0"/>
          <w:iCs/>
          <w:u w:val="none"/>
        </w:rPr>
        <w:t>lient</w:t>
      </w:r>
      <w:r w:rsidR="00740102" w:rsidRPr="00102C05">
        <w:rPr>
          <w:b w:val="0"/>
          <w:bCs w:val="0"/>
          <w:iCs/>
          <w:u w:val="none"/>
        </w:rPr>
        <w:t xml:space="preserve"> is no longer actively seeking to fill the position.</w:t>
      </w:r>
      <w:r w:rsidR="00740102">
        <w:rPr>
          <w:b w:val="0"/>
          <w:u w:val="none"/>
        </w:rPr>
        <w:t xml:space="preserve"> </w:t>
      </w:r>
      <w:r w:rsidR="00740102">
        <w:rPr>
          <w:u w:val="none"/>
        </w:rPr>
        <w:t xml:space="preserve"> </w:t>
      </w:r>
    </w:p>
    <w:p w14:paraId="42D27A26" w14:textId="77777777" w:rsidR="00102C05" w:rsidRPr="00102C05" w:rsidRDefault="00523BF7" w:rsidP="003D01FB">
      <w:pPr>
        <w:pStyle w:val="Heading1"/>
        <w:numPr>
          <w:ilvl w:val="0"/>
          <w:numId w:val="0"/>
        </w:numPr>
        <w:ind w:firstLine="720"/>
        <w:jc w:val="left"/>
        <w:rPr>
          <w:b w:val="0"/>
          <w:u w:val="none"/>
        </w:rPr>
      </w:pPr>
      <w:r>
        <w:rPr>
          <w:b w:val="0"/>
          <w:u w:val="none"/>
        </w:rPr>
        <w:t>4</w:t>
      </w:r>
      <w:r w:rsidR="00102C05" w:rsidRPr="00102C05">
        <w:rPr>
          <w:b w:val="0"/>
          <w:u w:val="none"/>
        </w:rPr>
        <w:t>.</w:t>
      </w:r>
      <w:r w:rsidR="00102C05">
        <w:rPr>
          <w:b w:val="0"/>
          <w:u w:val="none"/>
        </w:rPr>
        <w:tab/>
      </w:r>
      <w:r w:rsidR="00102C05">
        <w:rPr>
          <w:u w:val="none"/>
        </w:rPr>
        <w:t xml:space="preserve">Confidentiality of Candidate Information.  </w:t>
      </w:r>
      <w:r w:rsidR="00102C05">
        <w:rPr>
          <w:b w:val="0"/>
          <w:u w:val="none"/>
        </w:rPr>
        <w:t xml:space="preserve">Candidates are referred to Client in confidence.  Should Client </w:t>
      </w:r>
      <w:r w:rsidR="005A4944">
        <w:rPr>
          <w:b w:val="0"/>
          <w:u w:val="none"/>
        </w:rPr>
        <w:t xml:space="preserve">refer or identify any Potential Candidates to another company that retains a </w:t>
      </w:r>
      <w:r w:rsidR="00A625F7">
        <w:rPr>
          <w:b w:val="0"/>
          <w:u w:val="none"/>
        </w:rPr>
        <w:t>P</w:t>
      </w:r>
      <w:r w:rsidR="005A4944">
        <w:rPr>
          <w:b w:val="0"/>
          <w:u w:val="none"/>
        </w:rPr>
        <w:t>otential Candidate, both Client and the hiring company shall be responsible for the payment of a fee as if the Client had retained the Potential Candidate directly.</w:t>
      </w:r>
      <w:r w:rsidR="00102C05" w:rsidRPr="00102C05">
        <w:rPr>
          <w:b w:val="0"/>
          <w:u w:val="none"/>
        </w:rPr>
        <w:tab/>
      </w:r>
    </w:p>
    <w:p w14:paraId="1FA4EB95" w14:textId="77777777" w:rsidR="003D01FB" w:rsidRDefault="00740102" w:rsidP="003D01FB">
      <w:pPr>
        <w:pStyle w:val="Heading1"/>
        <w:numPr>
          <w:ilvl w:val="0"/>
          <w:numId w:val="0"/>
        </w:numPr>
        <w:ind w:firstLine="720"/>
        <w:jc w:val="left"/>
        <w:rPr>
          <w:b w:val="0"/>
          <w:u w:val="none"/>
        </w:rPr>
      </w:pPr>
      <w:r w:rsidRPr="00740102">
        <w:rPr>
          <w:b w:val="0"/>
          <w:u w:val="none"/>
        </w:rPr>
        <w:lastRenderedPageBreak/>
        <w:t>5.</w:t>
      </w:r>
      <w:r>
        <w:rPr>
          <w:u w:val="none"/>
        </w:rPr>
        <w:tab/>
      </w:r>
      <w:r w:rsidR="003D01FB">
        <w:rPr>
          <w:u w:val="none"/>
        </w:rPr>
        <w:t>Licensed Legal Professionals</w:t>
      </w:r>
      <w:r w:rsidR="003D01FB" w:rsidRPr="008E70B7">
        <w:rPr>
          <w:u w:val="none"/>
        </w:rPr>
        <w:t xml:space="preserve">. </w:t>
      </w:r>
      <w:r w:rsidR="003D01FB" w:rsidRPr="008E70B7">
        <w:rPr>
          <w:b w:val="0"/>
          <w:u w:val="none"/>
        </w:rPr>
        <w:t>B</w:t>
      </w:r>
      <w:r w:rsidR="003D01FB">
        <w:rPr>
          <w:b w:val="0"/>
          <w:u w:val="none"/>
        </w:rPr>
        <w:t xml:space="preserve">SM </w:t>
      </w:r>
      <w:r w:rsidR="003D01FB" w:rsidRPr="008E70B7">
        <w:rPr>
          <w:b w:val="0"/>
          <w:u w:val="none"/>
        </w:rPr>
        <w:t>is not a law firm</w:t>
      </w:r>
      <w:r w:rsidR="003D01FB">
        <w:rPr>
          <w:b w:val="0"/>
          <w:u w:val="none"/>
        </w:rPr>
        <w:t>,</w:t>
      </w:r>
      <w:r w:rsidR="003D01FB" w:rsidRPr="008E70B7">
        <w:rPr>
          <w:b w:val="0"/>
          <w:u w:val="none"/>
        </w:rPr>
        <w:t xml:space="preserve"> is not licensed to practice law</w:t>
      </w:r>
      <w:r w:rsidR="003D01FB">
        <w:rPr>
          <w:b w:val="0"/>
          <w:u w:val="none"/>
        </w:rPr>
        <w:t>,</w:t>
      </w:r>
      <w:r w:rsidR="003D01FB" w:rsidRPr="008E70B7">
        <w:rPr>
          <w:b w:val="0"/>
          <w:u w:val="none"/>
        </w:rPr>
        <w:t xml:space="preserve"> and has not been retained to provide legal advice or services.</w:t>
      </w:r>
      <w:r w:rsidR="003D01FB">
        <w:rPr>
          <w:b w:val="0"/>
          <w:u w:val="none"/>
        </w:rPr>
        <w:t xml:space="preserve"> The fees paid to BSM are solely for identifying and introducing candidates, and no potion of the fees shall be deemed to represent legal fees paid to BSM.</w:t>
      </w:r>
    </w:p>
    <w:p w14:paraId="14EE7C90" w14:textId="77777777" w:rsidR="00D42622" w:rsidRDefault="00D42622" w:rsidP="00D42622">
      <w:pPr>
        <w:pStyle w:val="Heading2"/>
        <w:numPr>
          <w:ilvl w:val="0"/>
          <w:numId w:val="0"/>
        </w:numPr>
        <w:ind w:firstLine="720"/>
        <w:jc w:val="left"/>
        <w:rPr>
          <w:b/>
        </w:rPr>
      </w:pPr>
      <w:r>
        <w:t>6.</w:t>
      </w:r>
      <w:r>
        <w:tab/>
      </w:r>
      <w:r>
        <w:rPr>
          <w:b/>
        </w:rPr>
        <w:t xml:space="preserve">Background or </w:t>
      </w:r>
      <w:r w:rsidRPr="002C68DE">
        <w:rPr>
          <w:b/>
        </w:rPr>
        <w:t xml:space="preserve">Reference Checks.  </w:t>
      </w:r>
      <w:r>
        <w:t xml:space="preserve">BSM is not responsible for conducting any background or </w:t>
      </w:r>
      <w:r w:rsidRPr="002C68DE">
        <w:rPr>
          <w:rFonts w:cs="Times New Roman"/>
        </w:rPr>
        <w:t>reference checks</w:t>
      </w:r>
      <w:r>
        <w:rPr>
          <w:rFonts w:cs="Times New Roman"/>
        </w:rPr>
        <w:t xml:space="preserve">, including any </w:t>
      </w:r>
      <w:r w:rsidRPr="005B2719">
        <w:t>screen</w:t>
      </w:r>
      <w:r>
        <w:t>s</w:t>
      </w:r>
      <w:r w:rsidRPr="005B2719">
        <w:t xml:space="preserve"> for drug use, medical exam</w:t>
      </w:r>
      <w:r>
        <w:t>s</w:t>
      </w:r>
      <w:r w:rsidRPr="005B2719">
        <w:t>, criminal background check</w:t>
      </w:r>
      <w:r>
        <w:t>s</w:t>
      </w:r>
      <w:r w:rsidRPr="005B2719">
        <w:t xml:space="preserve">, or </w:t>
      </w:r>
      <w:r>
        <w:t>any other v</w:t>
      </w:r>
      <w:r w:rsidRPr="005B2719">
        <w:t>erification process</w:t>
      </w:r>
      <w:r>
        <w:rPr>
          <w:rFonts w:cs="Times New Roman"/>
        </w:rPr>
        <w:t xml:space="preserve">. Client agrees to refrain from conducting any such background or reference checks unless specifically authorized by the particular candidate. </w:t>
      </w:r>
    </w:p>
    <w:p w14:paraId="1C2D5417" w14:textId="77777777" w:rsidR="003D01FB" w:rsidRDefault="006318B0" w:rsidP="00272CEF">
      <w:pPr>
        <w:pStyle w:val="Heading1"/>
        <w:numPr>
          <w:ilvl w:val="0"/>
          <w:numId w:val="0"/>
        </w:numPr>
        <w:ind w:firstLine="720"/>
        <w:jc w:val="left"/>
        <w:rPr>
          <w:b w:val="0"/>
          <w:u w:val="none"/>
        </w:rPr>
      </w:pPr>
      <w:r>
        <w:rPr>
          <w:b w:val="0"/>
          <w:u w:val="none"/>
        </w:rPr>
        <w:t>7</w:t>
      </w:r>
      <w:r w:rsidR="003D01FB" w:rsidRPr="0075307D">
        <w:rPr>
          <w:b w:val="0"/>
          <w:u w:val="none"/>
        </w:rPr>
        <w:t xml:space="preserve">. </w:t>
      </w:r>
      <w:r w:rsidR="003D01FB" w:rsidRPr="0075307D">
        <w:rPr>
          <w:b w:val="0"/>
          <w:u w:val="none"/>
        </w:rPr>
        <w:tab/>
      </w:r>
      <w:r w:rsidR="003D01FB" w:rsidRPr="0075307D">
        <w:rPr>
          <w:u w:val="none"/>
        </w:rPr>
        <w:t>Additional Services</w:t>
      </w:r>
      <w:r w:rsidR="003D01FB" w:rsidRPr="0075307D">
        <w:rPr>
          <w:b w:val="0"/>
          <w:u w:val="none"/>
        </w:rPr>
        <w:t xml:space="preserve">: </w:t>
      </w:r>
      <w:r w:rsidR="003D01FB">
        <w:rPr>
          <w:b w:val="0"/>
          <w:u w:val="none"/>
        </w:rPr>
        <w:t>BSM</w:t>
      </w:r>
      <w:r w:rsidR="003D01FB" w:rsidRPr="0075307D">
        <w:rPr>
          <w:b w:val="0"/>
          <w:u w:val="none"/>
        </w:rPr>
        <w:t xml:space="preserve"> may provide additional services beyond </w:t>
      </w:r>
      <w:r w:rsidR="00272CEF">
        <w:rPr>
          <w:b w:val="0"/>
          <w:u w:val="none"/>
        </w:rPr>
        <w:t>the</w:t>
      </w:r>
      <w:r w:rsidR="003D01FB" w:rsidRPr="0075307D">
        <w:rPr>
          <w:b w:val="0"/>
          <w:u w:val="none"/>
        </w:rPr>
        <w:t xml:space="preserve"> express obligations under this Agreement at </w:t>
      </w:r>
      <w:r w:rsidR="003D01FB" w:rsidRPr="00C11D1F">
        <w:rPr>
          <w:b w:val="0"/>
          <w:u w:val="none"/>
        </w:rPr>
        <w:t>Client</w:t>
      </w:r>
      <w:r w:rsidR="00272CEF">
        <w:rPr>
          <w:b w:val="0"/>
          <w:u w:val="none"/>
        </w:rPr>
        <w:t>’s</w:t>
      </w:r>
      <w:r w:rsidR="003D01FB" w:rsidRPr="00C11D1F">
        <w:rPr>
          <w:b w:val="0"/>
          <w:u w:val="none"/>
        </w:rPr>
        <w:t xml:space="preserve"> </w:t>
      </w:r>
      <w:r w:rsidR="003D01FB" w:rsidRPr="0075307D">
        <w:rPr>
          <w:b w:val="0"/>
          <w:u w:val="none"/>
        </w:rPr>
        <w:t xml:space="preserve">request. </w:t>
      </w:r>
      <w:r w:rsidR="00272CEF">
        <w:rPr>
          <w:b w:val="0"/>
          <w:u w:val="none"/>
        </w:rPr>
        <w:t>C</w:t>
      </w:r>
      <w:r w:rsidR="003D01FB" w:rsidRPr="0075307D">
        <w:rPr>
          <w:b w:val="0"/>
          <w:u w:val="none"/>
        </w:rPr>
        <w:t xml:space="preserve">harges for these services will be at the rate set forth in </w:t>
      </w:r>
      <w:r>
        <w:rPr>
          <w:b w:val="0"/>
          <w:u w:val="none"/>
        </w:rPr>
        <w:t>Exhibit A and</w:t>
      </w:r>
      <w:r w:rsidR="003D01FB" w:rsidRPr="0075307D">
        <w:rPr>
          <w:b w:val="0"/>
          <w:u w:val="none"/>
        </w:rPr>
        <w:t xml:space="preserve"> as agreed upon in advance by </w:t>
      </w:r>
      <w:r w:rsidR="003D01FB" w:rsidRPr="00C11D1F">
        <w:rPr>
          <w:b w:val="0"/>
          <w:u w:val="none"/>
        </w:rPr>
        <w:t xml:space="preserve">Client </w:t>
      </w:r>
      <w:r w:rsidR="003D01FB" w:rsidRPr="0075307D">
        <w:rPr>
          <w:b w:val="0"/>
          <w:u w:val="none"/>
        </w:rPr>
        <w:t xml:space="preserve">and </w:t>
      </w:r>
      <w:r w:rsidR="003D01FB">
        <w:rPr>
          <w:b w:val="0"/>
          <w:u w:val="none"/>
        </w:rPr>
        <w:t>BSM</w:t>
      </w:r>
      <w:r w:rsidR="003D01FB" w:rsidRPr="0075307D">
        <w:rPr>
          <w:b w:val="0"/>
          <w:u w:val="none"/>
        </w:rPr>
        <w:t xml:space="preserve">. </w:t>
      </w:r>
      <w:r w:rsidR="003D01FB" w:rsidRPr="00C11D1F">
        <w:rPr>
          <w:b w:val="0"/>
          <w:u w:val="none"/>
        </w:rPr>
        <w:t xml:space="preserve">Client </w:t>
      </w:r>
      <w:r w:rsidR="003D01FB" w:rsidRPr="0075307D">
        <w:rPr>
          <w:b w:val="0"/>
          <w:u w:val="none"/>
        </w:rPr>
        <w:t xml:space="preserve">will be responsible for the reimbursement of business expenses incurred by the </w:t>
      </w:r>
      <w:r w:rsidR="003D01FB">
        <w:rPr>
          <w:b w:val="0"/>
          <w:u w:val="none"/>
        </w:rPr>
        <w:t>BSM</w:t>
      </w:r>
      <w:r w:rsidR="003D01FB" w:rsidRPr="0075307D">
        <w:rPr>
          <w:b w:val="0"/>
          <w:u w:val="none"/>
        </w:rPr>
        <w:t xml:space="preserve"> in connection with any additional services requested by </w:t>
      </w:r>
      <w:r w:rsidR="003D01FB" w:rsidRPr="00C11D1F">
        <w:rPr>
          <w:b w:val="0"/>
          <w:u w:val="none"/>
        </w:rPr>
        <w:t>Client</w:t>
      </w:r>
      <w:r w:rsidR="003D01FB">
        <w:rPr>
          <w:b w:val="0"/>
          <w:u w:val="none"/>
        </w:rPr>
        <w:t>.</w:t>
      </w:r>
    </w:p>
    <w:p w14:paraId="11FFBD8A" w14:textId="77777777" w:rsidR="003D01FB" w:rsidRPr="00057A3F" w:rsidRDefault="006318B0" w:rsidP="00272CEF">
      <w:pPr>
        <w:pStyle w:val="Heading1"/>
        <w:numPr>
          <w:ilvl w:val="0"/>
          <w:numId w:val="0"/>
        </w:numPr>
        <w:ind w:firstLine="720"/>
        <w:jc w:val="left"/>
        <w:rPr>
          <w:b w:val="0"/>
          <w:u w:val="none"/>
        </w:rPr>
      </w:pPr>
      <w:r>
        <w:rPr>
          <w:b w:val="0"/>
          <w:u w:val="none"/>
        </w:rPr>
        <w:t>8</w:t>
      </w:r>
      <w:r w:rsidR="003D01FB">
        <w:rPr>
          <w:b w:val="0"/>
          <w:u w:val="none"/>
        </w:rPr>
        <w:t xml:space="preserve">. </w:t>
      </w:r>
      <w:r w:rsidR="003D01FB">
        <w:rPr>
          <w:b w:val="0"/>
          <w:u w:val="none"/>
        </w:rPr>
        <w:tab/>
      </w:r>
      <w:r w:rsidR="003D01FB" w:rsidRPr="00057A3F">
        <w:rPr>
          <w:u w:val="none"/>
        </w:rPr>
        <w:t>Independent Contractor Relationship</w:t>
      </w:r>
      <w:r w:rsidR="003D01FB" w:rsidRPr="00057A3F">
        <w:rPr>
          <w:b w:val="0"/>
          <w:u w:val="none"/>
        </w:rPr>
        <w:t xml:space="preserve">: The services </w:t>
      </w:r>
      <w:r w:rsidR="00272CEF">
        <w:rPr>
          <w:b w:val="0"/>
          <w:u w:val="none"/>
        </w:rPr>
        <w:t xml:space="preserve">rendered by </w:t>
      </w:r>
      <w:r w:rsidR="003D01FB">
        <w:rPr>
          <w:b w:val="0"/>
          <w:u w:val="none"/>
        </w:rPr>
        <w:t>BSM</w:t>
      </w:r>
      <w:r w:rsidR="003D01FB" w:rsidRPr="00057A3F">
        <w:rPr>
          <w:b w:val="0"/>
          <w:u w:val="none"/>
        </w:rPr>
        <w:t xml:space="preserve"> under this Agreement shall be as an independent contractor. Nothing contained in this Agreement shall be construed to create the relationship of principal and agent, or employer and employee, between </w:t>
      </w:r>
      <w:r w:rsidR="003D01FB">
        <w:rPr>
          <w:b w:val="0"/>
          <w:u w:val="none"/>
        </w:rPr>
        <w:t>BSM</w:t>
      </w:r>
      <w:r w:rsidR="003D01FB" w:rsidRPr="00057A3F">
        <w:rPr>
          <w:b w:val="0"/>
          <w:u w:val="none"/>
        </w:rPr>
        <w:t xml:space="preserve"> and </w:t>
      </w:r>
      <w:r w:rsidR="003D01FB">
        <w:rPr>
          <w:b w:val="0"/>
          <w:u w:val="none"/>
        </w:rPr>
        <w:t>Client</w:t>
      </w:r>
      <w:r w:rsidR="003D01FB" w:rsidRPr="00057A3F">
        <w:rPr>
          <w:b w:val="0"/>
          <w:u w:val="none"/>
        </w:rPr>
        <w:t xml:space="preserve">. Nothing in this Agreement or the relationship between </w:t>
      </w:r>
      <w:r w:rsidR="003D01FB">
        <w:rPr>
          <w:b w:val="0"/>
          <w:u w:val="none"/>
        </w:rPr>
        <w:t>Client</w:t>
      </w:r>
      <w:r w:rsidR="003D01FB" w:rsidRPr="00057A3F">
        <w:rPr>
          <w:b w:val="0"/>
          <w:u w:val="none"/>
        </w:rPr>
        <w:t xml:space="preserve">, </w:t>
      </w:r>
      <w:r w:rsidR="003D01FB">
        <w:rPr>
          <w:b w:val="0"/>
          <w:u w:val="none"/>
        </w:rPr>
        <w:t>BSM</w:t>
      </w:r>
      <w:r w:rsidR="003D01FB" w:rsidRPr="00057A3F">
        <w:rPr>
          <w:b w:val="0"/>
          <w:u w:val="none"/>
        </w:rPr>
        <w:t xml:space="preserve"> or the </w:t>
      </w:r>
      <w:r w:rsidR="003D01FB">
        <w:rPr>
          <w:b w:val="0"/>
          <w:u w:val="none"/>
        </w:rPr>
        <w:t>Potential Candidates</w:t>
      </w:r>
      <w:r w:rsidR="003D01FB" w:rsidRPr="00057A3F">
        <w:rPr>
          <w:b w:val="0"/>
          <w:u w:val="none"/>
        </w:rPr>
        <w:t xml:space="preserve"> shall create a co-employment or joint employer relationship.</w:t>
      </w:r>
    </w:p>
    <w:p w14:paraId="1B17200A" w14:textId="77777777" w:rsidR="00272CEF" w:rsidRDefault="006318B0" w:rsidP="00272CEF">
      <w:pPr>
        <w:pStyle w:val="BodyText"/>
        <w:spacing w:after="240"/>
        <w:ind w:firstLine="720"/>
        <w:jc w:val="left"/>
      </w:pPr>
      <w:r>
        <w:t>9</w:t>
      </w:r>
      <w:r w:rsidR="00272CEF" w:rsidRPr="00272CEF">
        <w:t>.</w:t>
      </w:r>
      <w:r w:rsidR="00272CEF" w:rsidRPr="00272CEF">
        <w:tab/>
      </w:r>
      <w:r w:rsidR="00272CEF">
        <w:rPr>
          <w:b/>
        </w:rPr>
        <w:t xml:space="preserve">Limitation of Liability. </w:t>
      </w:r>
      <w:r w:rsidR="00272CEF">
        <w:t xml:space="preserve">BSM shall not be liable for any loss, damage, or expense suffered or incurred by Client arising from or in any way connected with:(a) BSM introducing </w:t>
      </w:r>
      <w:r w:rsidR="00A1617C">
        <w:t>a Potential C</w:t>
      </w:r>
      <w:r w:rsidR="00272CEF">
        <w:t xml:space="preserve">andidate to Client or Client retaining the </w:t>
      </w:r>
      <w:r w:rsidR="00A1617C">
        <w:t>Potential C</w:t>
      </w:r>
      <w:r w:rsidR="00272CEF">
        <w:t xml:space="preserve">andidate; (b) </w:t>
      </w:r>
      <w:r w:rsidR="00A1617C">
        <w:t xml:space="preserve">a Potential </w:t>
      </w:r>
      <w:r w:rsidR="00272CEF">
        <w:t xml:space="preserve">Candidate’s failure to meet Client’s requirements; (c) any act or omission of </w:t>
      </w:r>
      <w:r w:rsidR="00A1617C">
        <w:t xml:space="preserve">a Potential </w:t>
      </w:r>
      <w:r w:rsidR="00272CEF">
        <w:t>Candidate.</w:t>
      </w:r>
      <w:r w:rsidR="00A1617C">
        <w:t xml:space="preserve"> </w:t>
      </w:r>
      <w:r w:rsidR="00A625F7">
        <w:t xml:space="preserve">Client agrees to indemnify, defend, and hold BSM harmless from any and all claims or penalties asserted against BSM by a Potential Candidate alleging any employment-related claims, claims of a joint employer relationship between Client and BSM, or due to any of Client’s acts or omissions.  </w:t>
      </w:r>
      <w:r w:rsidR="00A1617C">
        <w:t>In all cases, BSM’s maximum liability to Client shall not exceed the amounts actually paid to BSM by Client.</w:t>
      </w:r>
    </w:p>
    <w:p w14:paraId="6134EF5B" w14:textId="77777777" w:rsidR="00D42622" w:rsidRPr="005A4944" w:rsidRDefault="006318B0" w:rsidP="00D42622">
      <w:pPr>
        <w:pStyle w:val="Heading1"/>
        <w:numPr>
          <w:ilvl w:val="0"/>
          <w:numId w:val="0"/>
        </w:numPr>
        <w:ind w:firstLine="720"/>
        <w:jc w:val="left"/>
        <w:rPr>
          <w:b w:val="0"/>
          <w:u w:val="none"/>
        </w:rPr>
      </w:pPr>
      <w:r>
        <w:rPr>
          <w:b w:val="0"/>
          <w:u w:val="none"/>
        </w:rPr>
        <w:t>1</w:t>
      </w:r>
      <w:r w:rsidR="00A625F7">
        <w:rPr>
          <w:b w:val="0"/>
          <w:u w:val="none"/>
        </w:rPr>
        <w:t>0</w:t>
      </w:r>
      <w:r w:rsidR="00D42622" w:rsidRPr="00D42622">
        <w:rPr>
          <w:b w:val="0"/>
          <w:u w:val="none"/>
        </w:rPr>
        <w:t>.</w:t>
      </w:r>
      <w:r w:rsidR="00D42622" w:rsidRPr="005A4944">
        <w:rPr>
          <w:u w:val="none"/>
        </w:rPr>
        <w:tab/>
        <w:t>Equal Opportunity.</w:t>
      </w:r>
      <w:r w:rsidR="00D42622">
        <w:rPr>
          <w:u w:val="none"/>
        </w:rPr>
        <w:t xml:space="preserve">  </w:t>
      </w:r>
      <w:r w:rsidR="00D42622">
        <w:rPr>
          <w:b w:val="0"/>
          <w:u w:val="none"/>
        </w:rPr>
        <w:t xml:space="preserve">BSM does not discriminate in the identification or referral of candidates on the basis of race, color, religion, gender, age, national origin, marital status, disability, or other protected characteristic. </w:t>
      </w:r>
    </w:p>
    <w:p w14:paraId="46CF5A16" w14:textId="77777777" w:rsidR="00272CEF" w:rsidRDefault="00A1617C" w:rsidP="00A1617C">
      <w:pPr>
        <w:pStyle w:val="BodyText"/>
        <w:spacing w:after="240"/>
        <w:ind w:firstLine="720"/>
        <w:jc w:val="left"/>
      </w:pPr>
      <w:r w:rsidRPr="00A1617C">
        <w:t>1</w:t>
      </w:r>
      <w:r w:rsidR="00A625F7">
        <w:t>1</w:t>
      </w:r>
      <w:r w:rsidRPr="00A1617C">
        <w:t>.</w:t>
      </w:r>
      <w:r>
        <w:rPr>
          <w:b/>
        </w:rPr>
        <w:tab/>
      </w:r>
      <w:r w:rsidR="00272CEF">
        <w:rPr>
          <w:b/>
        </w:rPr>
        <w:t xml:space="preserve">Governing Law. </w:t>
      </w:r>
      <w:r w:rsidR="00272CEF">
        <w:t>Th</w:t>
      </w:r>
      <w:r>
        <w:t xml:space="preserve">is Agreement </w:t>
      </w:r>
      <w:r w:rsidR="00FD2720">
        <w:t>s</w:t>
      </w:r>
      <w:r w:rsidR="00272CEF">
        <w:t>hall be governed by and construed in accordance with the laws of the state of Minnesota. Any action arising out of or relating to these Terms shall be brought in Hennepin County District Court or the United States District Court for the District of Minnesota or the Client.</w:t>
      </w:r>
    </w:p>
    <w:p w14:paraId="1BBFEAA4" w14:textId="77777777" w:rsidR="00272CEF" w:rsidRDefault="00FD2720" w:rsidP="00FD2720">
      <w:pPr>
        <w:pStyle w:val="BodyText"/>
        <w:spacing w:after="240"/>
        <w:ind w:firstLine="720"/>
        <w:jc w:val="left"/>
      </w:pPr>
      <w:r w:rsidRPr="00FD2720">
        <w:t>1</w:t>
      </w:r>
      <w:r w:rsidR="00A625F7">
        <w:t>2</w:t>
      </w:r>
      <w:r w:rsidRPr="00FD2720">
        <w:t>.</w:t>
      </w:r>
      <w:r w:rsidRPr="00FD2720">
        <w:tab/>
      </w:r>
      <w:r w:rsidR="00272CEF">
        <w:rPr>
          <w:b/>
        </w:rPr>
        <w:t xml:space="preserve">Entire Agreement. </w:t>
      </w:r>
      <w:r w:rsidR="00272CEF">
        <w:t>Th</w:t>
      </w:r>
      <w:r>
        <w:t>is Agreement</w:t>
      </w:r>
      <w:r w:rsidR="00272CEF">
        <w:t xml:space="preserve"> constitute</w:t>
      </w:r>
      <w:r>
        <w:t>s</w:t>
      </w:r>
      <w:r w:rsidR="00272CEF">
        <w:t xml:space="preserve"> the entire agreement between the parties. No supplement, modification, or amendment of th</w:t>
      </w:r>
      <w:r>
        <w:t>is Agreement s</w:t>
      </w:r>
      <w:r w:rsidR="00272CEF">
        <w:t>hall be binding unless executed in writing and signed by both parties.</w:t>
      </w:r>
    </w:p>
    <w:p w14:paraId="2C995797" w14:textId="77777777" w:rsidR="00C52AC0" w:rsidRDefault="00C52AC0">
      <w:pPr>
        <w:spacing w:after="200" w:line="276" w:lineRule="auto"/>
        <w:jc w:val="left"/>
        <w:rPr>
          <w:rFonts w:cs="Arial"/>
          <w:bCs/>
        </w:rPr>
      </w:pPr>
      <w:r>
        <w:rPr>
          <w:b/>
        </w:rPr>
        <w:br w:type="page"/>
      </w:r>
    </w:p>
    <w:p w14:paraId="11C216AC" w14:textId="77777777" w:rsidR="00272CEF" w:rsidRPr="00FD2720" w:rsidRDefault="00FD2720" w:rsidP="00272CEF">
      <w:pPr>
        <w:pStyle w:val="Heading1"/>
        <w:numPr>
          <w:ilvl w:val="0"/>
          <w:numId w:val="0"/>
        </w:numPr>
        <w:ind w:firstLine="720"/>
        <w:jc w:val="left"/>
        <w:rPr>
          <w:rFonts w:cs="Times New Roman"/>
          <w:u w:val="none"/>
        </w:rPr>
      </w:pPr>
      <w:r w:rsidRPr="00FD2720">
        <w:rPr>
          <w:b w:val="0"/>
          <w:u w:val="none"/>
        </w:rPr>
        <w:lastRenderedPageBreak/>
        <w:t>1</w:t>
      </w:r>
      <w:r w:rsidR="00A625F7">
        <w:rPr>
          <w:b w:val="0"/>
          <w:u w:val="none"/>
        </w:rPr>
        <w:t>3</w:t>
      </w:r>
      <w:r w:rsidRPr="00FD2720">
        <w:rPr>
          <w:b w:val="0"/>
          <w:u w:val="none"/>
        </w:rPr>
        <w:t>.</w:t>
      </w:r>
      <w:r w:rsidRPr="00FD2720">
        <w:rPr>
          <w:u w:val="none"/>
        </w:rPr>
        <w:tab/>
      </w:r>
      <w:r w:rsidR="00272CEF" w:rsidRPr="00FD2720">
        <w:rPr>
          <w:u w:val="none"/>
        </w:rPr>
        <w:t xml:space="preserve">Non-Waiver. </w:t>
      </w:r>
      <w:r w:rsidR="00272CEF" w:rsidRPr="00FD2720">
        <w:rPr>
          <w:b w:val="0"/>
          <w:u w:val="none"/>
        </w:rPr>
        <w:t>The failure of a party to enforce the provisions of th</w:t>
      </w:r>
      <w:r>
        <w:rPr>
          <w:b w:val="0"/>
          <w:u w:val="none"/>
        </w:rPr>
        <w:t xml:space="preserve">is Agreement </w:t>
      </w:r>
      <w:r w:rsidR="00272CEF" w:rsidRPr="00FD2720">
        <w:rPr>
          <w:b w:val="0"/>
          <w:u w:val="none"/>
        </w:rPr>
        <w:t>will not be a waiver of any provision or the right of such party thereafter to enforce each and every provision of th</w:t>
      </w:r>
      <w:r>
        <w:rPr>
          <w:b w:val="0"/>
          <w:u w:val="none"/>
        </w:rPr>
        <w:t>is Agreement</w:t>
      </w:r>
      <w:r w:rsidR="00272CEF" w:rsidRPr="00FD2720">
        <w:rPr>
          <w:b w:val="0"/>
          <w:u w:val="none"/>
        </w:rPr>
        <w:t>.</w:t>
      </w:r>
      <w:r w:rsidR="003D01FB" w:rsidRPr="00FD2720">
        <w:rPr>
          <w:rFonts w:cs="Times New Roman"/>
          <w:u w:val="none"/>
        </w:rPr>
        <w:tab/>
      </w:r>
    </w:p>
    <w:p w14:paraId="5DEC7DA7" w14:textId="77777777" w:rsidR="003D01FB" w:rsidRPr="0075307D" w:rsidRDefault="00FD2720" w:rsidP="00272CEF">
      <w:pPr>
        <w:pStyle w:val="Heading1"/>
        <w:numPr>
          <w:ilvl w:val="0"/>
          <w:numId w:val="0"/>
        </w:numPr>
        <w:ind w:firstLine="720"/>
        <w:jc w:val="left"/>
        <w:rPr>
          <w:b w:val="0"/>
          <w:u w:val="none"/>
        </w:rPr>
      </w:pPr>
      <w:r w:rsidRPr="00FD2720">
        <w:rPr>
          <w:rFonts w:cs="Times New Roman"/>
          <w:b w:val="0"/>
          <w:u w:val="none"/>
        </w:rPr>
        <w:t>1</w:t>
      </w:r>
      <w:r w:rsidR="00A625F7">
        <w:rPr>
          <w:rFonts w:cs="Times New Roman"/>
          <w:b w:val="0"/>
          <w:u w:val="none"/>
        </w:rPr>
        <w:t>4</w:t>
      </w:r>
      <w:r w:rsidRPr="00FD2720">
        <w:rPr>
          <w:rFonts w:cs="Times New Roman"/>
          <w:b w:val="0"/>
          <w:u w:val="none"/>
        </w:rPr>
        <w:t>.</w:t>
      </w:r>
      <w:r>
        <w:rPr>
          <w:rFonts w:cs="Times New Roman"/>
          <w:u w:val="none"/>
        </w:rPr>
        <w:tab/>
      </w:r>
      <w:r w:rsidR="003D01FB" w:rsidRPr="0075307D">
        <w:rPr>
          <w:rFonts w:cs="Times New Roman"/>
          <w:u w:val="none"/>
        </w:rPr>
        <w:t>Miscellaneous</w:t>
      </w:r>
      <w:r w:rsidR="003D01FB" w:rsidRPr="0075307D">
        <w:rPr>
          <w:rFonts w:cs="Times New Roman"/>
          <w:b w:val="0"/>
          <w:u w:val="none"/>
        </w:rPr>
        <w:t xml:space="preserve">.  </w:t>
      </w:r>
      <w:r w:rsidR="003D01FB" w:rsidRPr="0075307D">
        <w:rPr>
          <w:b w:val="0"/>
          <w:u w:val="none"/>
        </w:rPr>
        <w:t xml:space="preserve">Client acknowledges that Client assumes responsibility for confirming complete acceptability of all Potential Candidates.  Client agrees to compensate BSM for all costs of enforcement of this Agreement, specifically including without limitation reasonable attorney’s fees.  </w:t>
      </w:r>
    </w:p>
    <w:p w14:paraId="549D6036" w14:textId="77777777" w:rsidR="00210356" w:rsidRDefault="00210356" w:rsidP="00B40624">
      <w:pPr>
        <w:rPr>
          <w:rFonts w:cs="Arial"/>
          <w:bCs/>
          <w:iCs/>
        </w:rPr>
      </w:pPr>
    </w:p>
    <w:p w14:paraId="3480CAB7" w14:textId="77777777" w:rsidR="00B40624" w:rsidRDefault="00B40624" w:rsidP="00B40624">
      <w:pPr>
        <w:rPr>
          <w:rFonts w:cs="Arial"/>
          <w:bCs/>
          <w:iCs/>
        </w:rPr>
      </w:pPr>
    </w:p>
    <w:p w14:paraId="4BED92D1" w14:textId="77777777" w:rsidR="00B40624" w:rsidRPr="00210356" w:rsidRDefault="00B40624" w:rsidP="0095169C">
      <w:pPr>
        <w:ind w:left="720" w:hanging="720"/>
        <w:jc w:val="left"/>
        <w:sectPr w:rsidR="00B40624" w:rsidRPr="00210356" w:rsidSect="00A92BA8">
          <w:headerReference w:type="even" r:id="rId7"/>
          <w:footerReference w:type="even" r:id="rId8"/>
          <w:footerReference w:type="default" r:id="rId9"/>
          <w:footerReference w:type="first" r:id="rId10"/>
          <w:pgSz w:w="12240" w:h="15840" w:code="1"/>
          <w:pgMar w:top="1440" w:right="1440" w:bottom="1440" w:left="1440" w:header="720" w:footer="720" w:gutter="0"/>
          <w:paperSrc w:first="15" w:other="15"/>
          <w:cols w:space="720"/>
          <w:titlePg/>
          <w:docGrid w:linePitch="360"/>
        </w:sectPr>
      </w:pPr>
      <w:r w:rsidRPr="0095169C">
        <w:rPr>
          <w:bCs/>
          <w:iCs/>
          <w:sz w:val="44"/>
          <w:szCs w:val="44"/>
        </w:rPr>
        <w:t>□</w:t>
      </w:r>
      <w:r w:rsidR="0095169C">
        <w:rPr>
          <w:bCs/>
          <w:iCs/>
        </w:rPr>
        <w:tab/>
        <w:t>Check here to indicate you have read and agree to the terms of this Agreement for Services.</w:t>
      </w:r>
    </w:p>
    <w:p w14:paraId="74262893" w14:textId="77777777" w:rsidR="00740102" w:rsidRDefault="00740102" w:rsidP="00210356">
      <w:pPr>
        <w:pStyle w:val="Heading2"/>
        <w:numPr>
          <w:ilvl w:val="0"/>
          <w:numId w:val="0"/>
        </w:numPr>
        <w:jc w:val="center"/>
        <w:rPr>
          <w:b/>
          <w:u w:val="single"/>
        </w:rPr>
      </w:pPr>
      <w:r>
        <w:rPr>
          <w:b/>
          <w:u w:val="single"/>
        </w:rPr>
        <w:lastRenderedPageBreak/>
        <w:t>EXHIBIT A</w:t>
      </w:r>
    </w:p>
    <w:p w14:paraId="76EF88A2" w14:textId="77777777" w:rsidR="006318B0" w:rsidRDefault="006318B0" w:rsidP="001A618A">
      <w:pPr>
        <w:pStyle w:val="Heading1"/>
        <w:numPr>
          <w:ilvl w:val="0"/>
          <w:numId w:val="0"/>
        </w:numPr>
        <w:jc w:val="left"/>
        <w:rPr>
          <w:u w:val="none"/>
        </w:rPr>
      </w:pPr>
    </w:p>
    <w:p w14:paraId="5E59AB28" w14:textId="77777777" w:rsidR="001A618A" w:rsidRPr="001A618A" w:rsidRDefault="001A618A" w:rsidP="001A618A">
      <w:pPr>
        <w:pStyle w:val="Heading1"/>
        <w:numPr>
          <w:ilvl w:val="0"/>
          <w:numId w:val="0"/>
        </w:numPr>
        <w:jc w:val="left"/>
        <w:rPr>
          <w:b w:val="0"/>
          <w:u w:val="none"/>
        </w:rPr>
      </w:pPr>
      <w:r w:rsidRPr="001A618A">
        <w:rPr>
          <w:b w:val="0"/>
          <w:u w:val="none"/>
        </w:rPr>
        <w:t>1.</w:t>
      </w:r>
      <w:r w:rsidRPr="001A618A">
        <w:rPr>
          <w:b w:val="0"/>
          <w:u w:val="none"/>
        </w:rPr>
        <w:tab/>
      </w:r>
      <w:r w:rsidRPr="00E71233">
        <w:rPr>
          <w:b w:val="0"/>
        </w:rPr>
        <w:t xml:space="preserve">Permanent </w:t>
      </w:r>
      <w:r w:rsidR="00C06092">
        <w:rPr>
          <w:b w:val="0"/>
        </w:rPr>
        <w:t>Work Assignment (</w:t>
      </w:r>
      <w:r w:rsidR="008C7313">
        <w:rPr>
          <w:b w:val="0"/>
        </w:rPr>
        <w:t xml:space="preserve">or </w:t>
      </w:r>
      <w:r w:rsidR="00C06092">
        <w:rPr>
          <w:b w:val="0"/>
        </w:rPr>
        <w:t xml:space="preserve">“Permanent </w:t>
      </w:r>
      <w:r w:rsidRPr="00E71233">
        <w:rPr>
          <w:b w:val="0"/>
        </w:rPr>
        <w:t>Placement</w:t>
      </w:r>
      <w:r w:rsidR="00C06092">
        <w:rPr>
          <w:b w:val="0"/>
        </w:rPr>
        <w:t>”)</w:t>
      </w:r>
      <w:r>
        <w:rPr>
          <w:b w:val="0"/>
          <w:u w:val="none"/>
        </w:rPr>
        <w:t>.</w:t>
      </w:r>
    </w:p>
    <w:p w14:paraId="3108048F" w14:textId="77777777" w:rsidR="00F97065" w:rsidRPr="00303928" w:rsidRDefault="00A625F7" w:rsidP="000B255A">
      <w:pPr>
        <w:pStyle w:val="Heading1"/>
        <w:numPr>
          <w:ilvl w:val="0"/>
          <w:numId w:val="0"/>
        </w:numPr>
        <w:ind w:left="720"/>
        <w:jc w:val="left"/>
        <w:rPr>
          <w:b w:val="0"/>
          <w:u w:val="none"/>
        </w:rPr>
      </w:pPr>
      <w:r>
        <w:rPr>
          <w:b w:val="0"/>
          <w:u w:val="none"/>
        </w:rPr>
        <w:t xml:space="preserve">A </w:t>
      </w:r>
      <w:r w:rsidR="00C06092">
        <w:rPr>
          <w:b w:val="0"/>
          <w:u w:val="none"/>
        </w:rPr>
        <w:t>p</w:t>
      </w:r>
      <w:r>
        <w:rPr>
          <w:b w:val="0"/>
          <w:u w:val="none"/>
        </w:rPr>
        <w:t xml:space="preserve">ermanent placement </w:t>
      </w:r>
      <w:r w:rsidR="00C06092">
        <w:rPr>
          <w:b w:val="0"/>
          <w:u w:val="none"/>
        </w:rPr>
        <w:t xml:space="preserve">assignment </w:t>
      </w:r>
      <w:r>
        <w:rPr>
          <w:b w:val="0"/>
          <w:u w:val="none"/>
        </w:rPr>
        <w:t>is one where</w:t>
      </w:r>
      <w:r w:rsidR="00C06092">
        <w:rPr>
          <w:b w:val="0"/>
          <w:u w:val="none"/>
        </w:rPr>
        <w:t xml:space="preserve"> the Client </w:t>
      </w:r>
      <w:r w:rsidR="000B255A">
        <w:rPr>
          <w:b w:val="0"/>
          <w:u w:val="none"/>
        </w:rPr>
        <w:t xml:space="preserve">retains </w:t>
      </w:r>
      <w:r w:rsidR="00C06092">
        <w:rPr>
          <w:b w:val="0"/>
          <w:u w:val="none"/>
        </w:rPr>
        <w:t xml:space="preserve">a candidate for a permanent positon (as opposed to a temporary or project-based position). If Client </w:t>
      </w:r>
      <w:r w:rsidR="008C7313">
        <w:rPr>
          <w:b w:val="0"/>
          <w:u w:val="none"/>
        </w:rPr>
        <w:t>retains</w:t>
      </w:r>
      <w:r w:rsidR="00C06092">
        <w:rPr>
          <w:b w:val="0"/>
          <w:u w:val="none"/>
        </w:rPr>
        <w:t xml:space="preserve"> a Potential Candidate as an employee, independent contractor</w:t>
      </w:r>
      <w:r w:rsidR="000B255A">
        <w:rPr>
          <w:b w:val="0"/>
          <w:u w:val="none"/>
        </w:rPr>
        <w:t>, or in some other capacity</w:t>
      </w:r>
      <w:r w:rsidR="008C7313">
        <w:rPr>
          <w:b w:val="0"/>
          <w:u w:val="none"/>
        </w:rPr>
        <w:t xml:space="preserve"> on a permanent basis</w:t>
      </w:r>
      <w:r w:rsidR="000B255A">
        <w:rPr>
          <w:b w:val="0"/>
          <w:u w:val="none"/>
        </w:rPr>
        <w:t>, Client agrees to pay BSM a flat fee based on the gross, a</w:t>
      </w:r>
      <w:r w:rsidR="00F97065" w:rsidRPr="00303928">
        <w:rPr>
          <w:b w:val="0"/>
          <w:u w:val="none"/>
        </w:rPr>
        <w:t xml:space="preserve">nnualized </w:t>
      </w:r>
      <w:r w:rsidR="000B255A">
        <w:rPr>
          <w:b w:val="0"/>
          <w:u w:val="none"/>
        </w:rPr>
        <w:t>compensation of the Potential Candidate, including s</w:t>
      </w:r>
      <w:r w:rsidR="00F97065" w:rsidRPr="00303928">
        <w:rPr>
          <w:b w:val="0"/>
          <w:u w:val="none"/>
        </w:rPr>
        <w:t xml:space="preserve">alary, </w:t>
      </w:r>
      <w:r w:rsidR="000B255A">
        <w:rPr>
          <w:b w:val="0"/>
          <w:u w:val="none"/>
        </w:rPr>
        <w:t>b</w:t>
      </w:r>
      <w:r w:rsidR="00F97065" w:rsidRPr="00303928">
        <w:rPr>
          <w:b w:val="0"/>
          <w:u w:val="none"/>
        </w:rPr>
        <w:t xml:space="preserve">onus and any other </w:t>
      </w:r>
      <w:r w:rsidR="000B255A">
        <w:rPr>
          <w:b w:val="0"/>
          <w:u w:val="none"/>
        </w:rPr>
        <w:t>form of compensation (“</w:t>
      </w:r>
      <w:r w:rsidR="000B255A" w:rsidRPr="000B255A">
        <w:rPr>
          <w:b w:val="0"/>
        </w:rPr>
        <w:t>Compensation</w:t>
      </w:r>
      <w:r w:rsidR="000B255A">
        <w:rPr>
          <w:b w:val="0"/>
          <w:u w:val="none"/>
        </w:rPr>
        <w:t>”).  BSM’s fee shall be determined according the following schedule:</w:t>
      </w:r>
    </w:p>
    <w:p w14:paraId="1BA3B26D" w14:textId="77777777" w:rsidR="000B255A" w:rsidRDefault="000B255A" w:rsidP="00303928">
      <w:pPr>
        <w:pStyle w:val="Heading1"/>
        <w:numPr>
          <w:ilvl w:val="0"/>
          <w:numId w:val="0"/>
        </w:numPr>
        <w:spacing w:after="0"/>
        <w:ind w:firstLine="720"/>
        <w:jc w:val="left"/>
        <w:rPr>
          <w:b w:val="0"/>
        </w:rPr>
      </w:pPr>
      <w:r w:rsidRPr="000B255A">
        <w:rPr>
          <w:b w:val="0"/>
        </w:rPr>
        <w:t>Compensation</w:t>
      </w:r>
      <w:r>
        <w:rPr>
          <w:b w:val="0"/>
        </w:rPr>
        <w:tab/>
      </w:r>
      <w:r>
        <w:rPr>
          <w:b w:val="0"/>
          <w:u w:val="none"/>
        </w:rPr>
        <w:tab/>
      </w:r>
      <w:r>
        <w:rPr>
          <w:b w:val="0"/>
          <w:u w:val="none"/>
        </w:rPr>
        <w:tab/>
      </w:r>
      <w:r>
        <w:rPr>
          <w:b w:val="0"/>
        </w:rPr>
        <w:t>BSM Fee</w:t>
      </w:r>
    </w:p>
    <w:p w14:paraId="7200B638" w14:textId="77777777" w:rsidR="000B255A" w:rsidRPr="000B255A" w:rsidRDefault="000B255A" w:rsidP="00303928">
      <w:pPr>
        <w:pStyle w:val="Heading1"/>
        <w:numPr>
          <w:ilvl w:val="0"/>
          <w:numId w:val="0"/>
        </w:numPr>
        <w:spacing w:after="0"/>
        <w:ind w:firstLine="720"/>
        <w:jc w:val="left"/>
        <w:rPr>
          <w:b w:val="0"/>
          <w:u w:val="none"/>
        </w:rPr>
      </w:pPr>
      <w:r>
        <w:rPr>
          <w:b w:val="0"/>
          <w:u w:val="none"/>
        </w:rPr>
        <w:tab/>
      </w:r>
    </w:p>
    <w:p w14:paraId="205B6C25" w14:textId="77777777" w:rsidR="00E71233" w:rsidRDefault="00303928" w:rsidP="00303928">
      <w:pPr>
        <w:pStyle w:val="Heading1"/>
        <w:numPr>
          <w:ilvl w:val="0"/>
          <w:numId w:val="0"/>
        </w:numPr>
        <w:spacing w:after="0"/>
        <w:ind w:firstLine="720"/>
        <w:jc w:val="left"/>
        <w:rPr>
          <w:b w:val="0"/>
          <w:u w:val="none"/>
        </w:rPr>
      </w:pPr>
      <w:r>
        <w:rPr>
          <w:b w:val="0"/>
          <w:u w:val="none"/>
        </w:rPr>
        <w:t>Under $75,000</w:t>
      </w:r>
      <w:r>
        <w:rPr>
          <w:b w:val="0"/>
          <w:u w:val="none"/>
        </w:rPr>
        <w:tab/>
      </w:r>
      <w:r>
        <w:rPr>
          <w:b w:val="0"/>
          <w:u w:val="none"/>
        </w:rPr>
        <w:tab/>
      </w:r>
      <w:r>
        <w:rPr>
          <w:b w:val="0"/>
          <w:u w:val="none"/>
        </w:rPr>
        <w:tab/>
        <w:t>$1,100</w:t>
      </w:r>
    </w:p>
    <w:p w14:paraId="6E508D32" w14:textId="77777777" w:rsidR="00F97065" w:rsidRPr="00303928" w:rsidRDefault="00F97065" w:rsidP="00303928">
      <w:pPr>
        <w:pStyle w:val="Heading1"/>
        <w:numPr>
          <w:ilvl w:val="0"/>
          <w:numId w:val="0"/>
        </w:numPr>
        <w:spacing w:after="0"/>
        <w:ind w:firstLine="720"/>
        <w:jc w:val="left"/>
        <w:rPr>
          <w:b w:val="0"/>
          <w:u w:val="none"/>
        </w:rPr>
      </w:pPr>
      <w:r w:rsidRPr="00303928">
        <w:rPr>
          <w:b w:val="0"/>
          <w:u w:val="none"/>
        </w:rPr>
        <w:t>$75,000-$99,999:</w:t>
      </w:r>
      <w:r w:rsidRPr="00303928">
        <w:rPr>
          <w:b w:val="0"/>
          <w:u w:val="none"/>
        </w:rPr>
        <w:tab/>
      </w:r>
      <w:r w:rsidRPr="00303928">
        <w:rPr>
          <w:b w:val="0"/>
          <w:u w:val="none"/>
        </w:rPr>
        <w:tab/>
        <w:t>$7,500</w:t>
      </w:r>
    </w:p>
    <w:p w14:paraId="2345BB7D" w14:textId="77777777" w:rsidR="00F97065" w:rsidRPr="00303928" w:rsidRDefault="00F97065" w:rsidP="00303928">
      <w:pPr>
        <w:pStyle w:val="Heading1"/>
        <w:numPr>
          <w:ilvl w:val="0"/>
          <w:numId w:val="0"/>
        </w:numPr>
        <w:spacing w:after="0"/>
        <w:ind w:firstLine="720"/>
        <w:jc w:val="left"/>
        <w:rPr>
          <w:b w:val="0"/>
          <w:u w:val="none"/>
        </w:rPr>
      </w:pPr>
      <w:r w:rsidRPr="00303928">
        <w:rPr>
          <w:b w:val="0"/>
          <w:u w:val="none"/>
        </w:rPr>
        <w:t>$100,000-$149,000:</w:t>
      </w:r>
      <w:r w:rsidRPr="00303928">
        <w:rPr>
          <w:b w:val="0"/>
          <w:u w:val="none"/>
        </w:rPr>
        <w:tab/>
      </w:r>
      <w:r w:rsidRPr="00303928">
        <w:rPr>
          <w:b w:val="0"/>
          <w:u w:val="none"/>
        </w:rPr>
        <w:tab/>
        <w:t>$11,000</w:t>
      </w:r>
    </w:p>
    <w:p w14:paraId="45367BDB" w14:textId="77777777" w:rsidR="00F97065" w:rsidRPr="00303928" w:rsidRDefault="00F97065" w:rsidP="00303928">
      <w:pPr>
        <w:pStyle w:val="Heading1"/>
        <w:numPr>
          <w:ilvl w:val="0"/>
          <w:numId w:val="0"/>
        </w:numPr>
        <w:spacing w:after="0"/>
        <w:ind w:firstLine="720"/>
        <w:jc w:val="left"/>
        <w:rPr>
          <w:b w:val="0"/>
          <w:u w:val="none"/>
        </w:rPr>
      </w:pPr>
      <w:r w:rsidRPr="00303928">
        <w:rPr>
          <w:b w:val="0"/>
          <w:u w:val="none"/>
        </w:rPr>
        <w:t>$150,000</w:t>
      </w:r>
      <w:r w:rsidR="00303928" w:rsidRPr="00303928">
        <w:rPr>
          <w:b w:val="0"/>
          <w:u w:val="none"/>
        </w:rPr>
        <w:t>-$199,999</w:t>
      </w:r>
      <w:r w:rsidRPr="00303928">
        <w:rPr>
          <w:b w:val="0"/>
          <w:u w:val="none"/>
        </w:rPr>
        <w:tab/>
      </w:r>
      <w:r w:rsidRPr="00303928">
        <w:rPr>
          <w:b w:val="0"/>
          <w:u w:val="none"/>
        </w:rPr>
        <w:tab/>
        <w:t>$17,000</w:t>
      </w:r>
    </w:p>
    <w:p w14:paraId="563A6B68" w14:textId="77777777" w:rsidR="00F97065" w:rsidRDefault="00303928" w:rsidP="00303928">
      <w:pPr>
        <w:pStyle w:val="Heading1"/>
        <w:numPr>
          <w:ilvl w:val="0"/>
          <w:numId w:val="0"/>
        </w:numPr>
        <w:spacing w:after="0"/>
        <w:ind w:firstLine="720"/>
        <w:jc w:val="left"/>
        <w:rPr>
          <w:b w:val="0"/>
          <w:u w:val="none"/>
        </w:rPr>
      </w:pPr>
      <w:r w:rsidRPr="00303928">
        <w:rPr>
          <w:b w:val="0"/>
          <w:u w:val="none"/>
        </w:rPr>
        <w:t>Over $200,000</w:t>
      </w:r>
      <w:r w:rsidRPr="00303928">
        <w:rPr>
          <w:b w:val="0"/>
          <w:u w:val="none"/>
        </w:rPr>
        <w:tab/>
      </w:r>
      <w:r w:rsidRPr="00303928">
        <w:rPr>
          <w:b w:val="0"/>
          <w:u w:val="none"/>
        </w:rPr>
        <w:tab/>
      </w:r>
      <w:r>
        <w:rPr>
          <w:b w:val="0"/>
          <w:u w:val="none"/>
        </w:rPr>
        <w:tab/>
      </w:r>
      <w:r w:rsidRPr="00303928">
        <w:rPr>
          <w:b w:val="0"/>
          <w:u w:val="none"/>
        </w:rPr>
        <w:t>$22,000</w:t>
      </w:r>
    </w:p>
    <w:p w14:paraId="1A374F5F" w14:textId="77777777" w:rsidR="00303928" w:rsidRPr="00303928" w:rsidRDefault="00303928" w:rsidP="00303928">
      <w:pPr>
        <w:pStyle w:val="Heading1"/>
        <w:numPr>
          <w:ilvl w:val="0"/>
          <w:numId w:val="0"/>
        </w:numPr>
        <w:spacing w:after="0"/>
        <w:ind w:firstLine="720"/>
        <w:jc w:val="left"/>
        <w:rPr>
          <w:b w:val="0"/>
          <w:u w:val="none"/>
        </w:rPr>
      </w:pPr>
    </w:p>
    <w:p w14:paraId="56ECBA24" w14:textId="77777777" w:rsidR="001A618A" w:rsidRDefault="001A618A" w:rsidP="00E71233">
      <w:pPr>
        <w:pStyle w:val="Heading1"/>
        <w:numPr>
          <w:ilvl w:val="0"/>
          <w:numId w:val="0"/>
        </w:numPr>
        <w:jc w:val="left"/>
        <w:rPr>
          <w:b w:val="0"/>
          <w:u w:val="none"/>
        </w:rPr>
      </w:pPr>
      <w:r w:rsidRPr="001A618A">
        <w:rPr>
          <w:b w:val="0"/>
          <w:u w:val="none"/>
        </w:rPr>
        <w:t>2.</w:t>
      </w:r>
      <w:r w:rsidRPr="001A618A">
        <w:rPr>
          <w:b w:val="0"/>
          <w:u w:val="none"/>
        </w:rPr>
        <w:tab/>
      </w:r>
      <w:r w:rsidR="00E71233" w:rsidRPr="00E71233">
        <w:rPr>
          <w:b w:val="0"/>
        </w:rPr>
        <w:t xml:space="preserve">Temporary </w:t>
      </w:r>
      <w:r w:rsidR="00A54A92">
        <w:rPr>
          <w:b w:val="0"/>
        </w:rPr>
        <w:t>Assignments</w:t>
      </w:r>
      <w:r w:rsidR="00E71233" w:rsidRPr="00E71233">
        <w:rPr>
          <w:b w:val="0"/>
          <w:u w:val="none"/>
        </w:rPr>
        <w:t>.</w:t>
      </w:r>
    </w:p>
    <w:p w14:paraId="52ADCD9F" w14:textId="77777777" w:rsidR="008C7313" w:rsidRPr="00E71233" w:rsidRDefault="008C7313" w:rsidP="008C7313">
      <w:pPr>
        <w:pStyle w:val="Heading1"/>
        <w:numPr>
          <w:ilvl w:val="0"/>
          <w:numId w:val="0"/>
        </w:numPr>
        <w:ind w:left="720"/>
        <w:jc w:val="left"/>
        <w:rPr>
          <w:b w:val="0"/>
          <w:u w:val="none"/>
        </w:rPr>
      </w:pPr>
      <w:r>
        <w:rPr>
          <w:b w:val="0"/>
          <w:u w:val="none"/>
        </w:rPr>
        <w:t>Temporary positions are those where the Client retains a Potential Candidate on a temporary, but ongoing, basis</w:t>
      </w:r>
      <w:r w:rsidR="00985857">
        <w:rPr>
          <w:b w:val="0"/>
          <w:u w:val="none"/>
        </w:rPr>
        <w:t xml:space="preserve"> that lasts as many as six (6) months</w:t>
      </w:r>
      <w:r>
        <w:rPr>
          <w:b w:val="0"/>
          <w:u w:val="none"/>
        </w:rPr>
        <w:t>.  If Client retains a Potential Candidate as an employee, independent contractor, or in some other capacity on a temporary basis, Client agrees to pay BSM a flat fee calculated as follows:</w:t>
      </w:r>
    </w:p>
    <w:p w14:paraId="70B61EBB" w14:textId="77777777" w:rsidR="00985857" w:rsidRDefault="00E71233" w:rsidP="00985857">
      <w:pPr>
        <w:ind w:left="360" w:firstLine="360"/>
        <w:jc w:val="left"/>
      </w:pPr>
      <w:r>
        <w:t>Part Time positions</w:t>
      </w:r>
      <w:r w:rsidR="00985857">
        <w:t xml:space="preserve"> (</w:t>
      </w:r>
      <w:r>
        <w:t>under 25 hours a week</w:t>
      </w:r>
      <w:r w:rsidR="00985857">
        <w:t>)</w:t>
      </w:r>
      <w:r w:rsidR="00985857">
        <w:tab/>
      </w:r>
      <w:r w:rsidR="00985857">
        <w:tab/>
      </w:r>
      <w:r>
        <w:t>$550</w:t>
      </w:r>
    </w:p>
    <w:p w14:paraId="15C5E133" w14:textId="77777777" w:rsidR="00E71233" w:rsidRDefault="00E71233" w:rsidP="00985857">
      <w:pPr>
        <w:ind w:left="360" w:firstLine="360"/>
        <w:jc w:val="left"/>
      </w:pPr>
      <w:r>
        <w:t xml:space="preserve">Full Time positions </w:t>
      </w:r>
      <w:r w:rsidR="00985857">
        <w:t xml:space="preserve">(26 </w:t>
      </w:r>
      <w:r>
        <w:t xml:space="preserve">hours </w:t>
      </w:r>
      <w:r w:rsidR="00985857">
        <w:t>or more per</w:t>
      </w:r>
      <w:r>
        <w:t xml:space="preserve"> week</w:t>
      </w:r>
      <w:r w:rsidR="00985857">
        <w:t>)</w:t>
      </w:r>
      <w:r>
        <w:t xml:space="preserve"> </w:t>
      </w:r>
      <w:r w:rsidR="00985857">
        <w:tab/>
      </w:r>
      <w:r>
        <w:t>$1,100</w:t>
      </w:r>
    </w:p>
    <w:p w14:paraId="635D1F57" w14:textId="77777777" w:rsidR="001A618A" w:rsidRDefault="001A618A" w:rsidP="00985857">
      <w:pPr>
        <w:pStyle w:val="Heading1"/>
        <w:numPr>
          <w:ilvl w:val="0"/>
          <w:numId w:val="0"/>
        </w:numPr>
        <w:spacing w:after="0"/>
        <w:ind w:firstLine="720"/>
        <w:jc w:val="left"/>
        <w:rPr>
          <w:u w:val="none"/>
        </w:rPr>
      </w:pPr>
    </w:p>
    <w:p w14:paraId="06884731" w14:textId="77777777" w:rsidR="00985857" w:rsidRDefault="00985857" w:rsidP="00A54A92">
      <w:pPr>
        <w:pStyle w:val="Heading1"/>
        <w:numPr>
          <w:ilvl w:val="0"/>
          <w:numId w:val="0"/>
        </w:numPr>
        <w:spacing w:after="0"/>
        <w:ind w:left="720"/>
        <w:jc w:val="left"/>
        <w:rPr>
          <w:b w:val="0"/>
          <w:u w:val="none"/>
        </w:rPr>
      </w:pPr>
      <w:r w:rsidRPr="00985857">
        <w:rPr>
          <w:b w:val="0"/>
          <w:u w:val="none"/>
        </w:rPr>
        <w:t>If</w:t>
      </w:r>
      <w:r>
        <w:rPr>
          <w:b w:val="0"/>
          <w:u w:val="none"/>
        </w:rPr>
        <w:t xml:space="preserve"> a temporary assignment extends beyond six (6) months, it shall be deemed a permanent placement</w:t>
      </w:r>
      <w:r w:rsidR="00A54A92">
        <w:rPr>
          <w:b w:val="0"/>
          <w:u w:val="none"/>
        </w:rPr>
        <w:t xml:space="preserve"> and a permanent placement fee shall be due; however, all amounts paid as and for a temporary placement shall be a credit against the permanent placement fee.</w:t>
      </w:r>
      <w:r w:rsidRPr="00985857">
        <w:rPr>
          <w:b w:val="0"/>
          <w:u w:val="none"/>
        </w:rPr>
        <w:t xml:space="preserve"> </w:t>
      </w:r>
    </w:p>
    <w:p w14:paraId="351FDC92" w14:textId="77777777" w:rsidR="00847D71" w:rsidRPr="00985857" w:rsidRDefault="00847D71" w:rsidP="00A54A92">
      <w:pPr>
        <w:pStyle w:val="Heading1"/>
        <w:numPr>
          <w:ilvl w:val="0"/>
          <w:numId w:val="0"/>
        </w:numPr>
        <w:spacing w:after="0"/>
        <w:ind w:left="720"/>
        <w:jc w:val="left"/>
        <w:rPr>
          <w:b w:val="0"/>
          <w:u w:val="none"/>
        </w:rPr>
      </w:pPr>
    </w:p>
    <w:p w14:paraId="225DA89B" w14:textId="77777777" w:rsidR="008C7313" w:rsidRPr="001A618A" w:rsidRDefault="00A54A92" w:rsidP="008C7313">
      <w:pPr>
        <w:pStyle w:val="Heading1"/>
        <w:numPr>
          <w:ilvl w:val="0"/>
          <w:numId w:val="0"/>
        </w:numPr>
        <w:jc w:val="left"/>
        <w:rPr>
          <w:b w:val="0"/>
          <w:u w:val="none"/>
        </w:rPr>
      </w:pPr>
      <w:r w:rsidRPr="00A54A92">
        <w:rPr>
          <w:b w:val="0"/>
          <w:u w:val="none"/>
        </w:rPr>
        <w:t>3.</w:t>
      </w:r>
      <w:r w:rsidRPr="00A54A92">
        <w:rPr>
          <w:b w:val="0"/>
          <w:u w:val="none"/>
        </w:rPr>
        <w:tab/>
      </w:r>
      <w:r w:rsidR="008C7313" w:rsidRPr="00E71233">
        <w:rPr>
          <w:b w:val="0"/>
        </w:rPr>
        <w:t>Project-Based</w:t>
      </w:r>
      <w:r>
        <w:rPr>
          <w:b w:val="0"/>
        </w:rPr>
        <w:t xml:space="preserve"> Assignments (</w:t>
      </w:r>
      <w:r w:rsidR="008C7313">
        <w:rPr>
          <w:b w:val="0"/>
        </w:rPr>
        <w:t xml:space="preserve">“Quick Cash” </w:t>
      </w:r>
      <w:r>
        <w:rPr>
          <w:b w:val="0"/>
        </w:rPr>
        <w:t>Assignments)</w:t>
      </w:r>
      <w:r w:rsidR="008C7313" w:rsidRPr="001A618A">
        <w:rPr>
          <w:b w:val="0"/>
          <w:u w:val="none"/>
        </w:rPr>
        <w:t>.</w:t>
      </w:r>
    </w:p>
    <w:p w14:paraId="7E19F46F" w14:textId="77777777" w:rsidR="00847D71" w:rsidRDefault="00A54A92" w:rsidP="00210356">
      <w:pPr>
        <w:pStyle w:val="Heading1"/>
        <w:numPr>
          <w:ilvl w:val="0"/>
          <w:numId w:val="0"/>
        </w:numPr>
        <w:ind w:left="720"/>
        <w:jc w:val="left"/>
        <w:rPr>
          <w:b w:val="0"/>
          <w:u w:val="none"/>
        </w:rPr>
      </w:pPr>
      <w:r>
        <w:rPr>
          <w:b w:val="0"/>
          <w:u w:val="none"/>
        </w:rPr>
        <w:t xml:space="preserve">A project-based (or “Quick Cash”) assignment is an assignment for a short period of time and for a specific project that typically lasts no more than 1-3 days.  If Client retains a Potential Candidate </w:t>
      </w:r>
      <w:r w:rsidR="00847D71">
        <w:rPr>
          <w:b w:val="0"/>
          <w:u w:val="none"/>
        </w:rPr>
        <w:t xml:space="preserve">on a project </w:t>
      </w:r>
      <w:r>
        <w:rPr>
          <w:b w:val="0"/>
          <w:u w:val="none"/>
        </w:rPr>
        <w:t>basis, Client agrees to pay BSM a flat fee</w:t>
      </w:r>
      <w:r w:rsidR="00847D71">
        <w:rPr>
          <w:b w:val="0"/>
          <w:u w:val="none"/>
        </w:rPr>
        <w:t xml:space="preserve"> of $</w:t>
      </w:r>
      <w:r w:rsidR="008C7313" w:rsidRPr="00F97065">
        <w:rPr>
          <w:b w:val="0"/>
          <w:u w:val="none"/>
        </w:rPr>
        <w:t>100 per Potential Candidate.</w:t>
      </w:r>
    </w:p>
    <w:p w14:paraId="44C33405" w14:textId="18557F04" w:rsidR="00847D71" w:rsidRPr="00847D71" w:rsidRDefault="00847D71" w:rsidP="00847D71">
      <w:pPr>
        <w:pStyle w:val="Heading1"/>
        <w:numPr>
          <w:ilvl w:val="0"/>
          <w:numId w:val="0"/>
        </w:numPr>
        <w:jc w:val="left"/>
        <w:rPr>
          <w:u w:val="none"/>
        </w:rPr>
      </w:pPr>
      <w:r>
        <w:rPr>
          <w:u w:val="none"/>
        </w:rPr>
        <w:t xml:space="preserve">Client agrees to pay all </w:t>
      </w:r>
      <w:r w:rsidRPr="00847D71">
        <w:rPr>
          <w:u w:val="none"/>
        </w:rPr>
        <w:t xml:space="preserve">fees to BSM </w:t>
      </w:r>
      <w:r w:rsidR="00FE3171">
        <w:rPr>
          <w:u w:val="none"/>
        </w:rPr>
        <w:t>upon receipt of invoice</w:t>
      </w:r>
      <w:r w:rsidRPr="00847D71">
        <w:rPr>
          <w:u w:val="none"/>
        </w:rPr>
        <w:t xml:space="preserve"> following the Potential Candidate’s first day of providing services.</w:t>
      </w:r>
    </w:p>
    <w:sectPr w:rsidR="00847D71" w:rsidRPr="00847D71" w:rsidSect="00A92BA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22BF" w14:textId="77777777" w:rsidR="00EF56A9" w:rsidRDefault="00EF56A9" w:rsidP="003D01FB">
      <w:r>
        <w:separator/>
      </w:r>
    </w:p>
  </w:endnote>
  <w:endnote w:type="continuationSeparator" w:id="0">
    <w:p w14:paraId="7B605980" w14:textId="77777777" w:rsidR="00EF56A9" w:rsidRDefault="00EF56A9" w:rsidP="003D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6649327d-b21b-4142-bc89-9ee2"/>
  <w:p w14:paraId="13066E32" w14:textId="77777777" w:rsidR="00723B11" w:rsidRDefault="00723B11">
    <w:pPr>
      <w:pStyle w:val="DocID"/>
    </w:pPr>
    <w:r>
      <w:fldChar w:fldCharType="begin"/>
    </w:r>
    <w:r>
      <w:instrText xml:space="preserve">  DOCPROPERTY "CUS_DocIDChunk0" </w:instrText>
    </w:r>
    <w:r>
      <w:fldChar w:fldCharType="separate"/>
    </w:r>
    <w:r w:rsidR="00A92BA8">
      <w:t>304249255v1 1017143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BFE6" w14:textId="77777777" w:rsidR="00723B11" w:rsidRDefault="00723B11" w:rsidP="002E7C68">
    <w:pPr>
      <w:pStyle w:val="Footer"/>
      <w:tabs>
        <w:tab w:val="clear" w:pos="4320"/>
        <w:tab w:val="clear" w:pos="8640"/>
      </w:tabs>
    </w:pPr>
    <w:r>
      <w:rPr>
        <w:rStyle w:val="PageNumber"/>
      </w:rPr>
      <w:fldChar w:fldCharType="begin"/>
    </w:r>
    <w:r>
      <w:rPr>
        <w:rStyle w:val="PageNumber"/>
      </w:rPr>
      <w:instrText xml:space="preserve"> PAGE </w:instrText>
    </w:r>
    <w:r>
      <w:rPr>
        <w:rStyle w:val="PageNumber"/>
      </w:rPr>
      <w:fldChar w:fldCharType="separate"/>
    </w:r>
    <w:r w:rsidR="00A92BA8">
      <w:rPr>
        <w:rStyle w:val="PageNumber"/>
        <w:noProof/>
      </w:rPr>
      <w:t>3</w:t>
    </w:r>
    <w:r>
      <w:rPr>
        <w:rStyle w:val="PageNumber"/>
      </w:rPr>
      <w:fldChar w:fldCharType="end"/>
    </w:r>
  </w:p>
  <w:bookmarkStart w:id="1" w:name="_iDocIDField21afe166-29da-4e2b-8d57-09e3"/>
  <w:p w14:paraId="2E79B3F2" w14:textId="77777777" w:rsidR="00723B11" w:rsidRDefault="00723B11">
    <w:pPr>
      <w:pStyle w:val="DocID"/>
    </w:pPr>
    <w:r>
      <w:fldChar w:fldCharType="begin"/>
    </w:r>
    <w:r>
      <w:instrText xml:space="preserve">  DOCPROPERTY "CUS_DocIDChunk0" </w:instrText>
    </w:r>
    <w:r>
      <w:fldChar w:fldCharType="separate"/>
    </w:r>
    <w:r w:rsidR="00A92BA8">
      <w:t>304249255v1 1017143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aefdbaa5-2e0b-4e9d-bfb8-0896"/>
  <w:p w14:paraId="284645D5" w14:textId="77777777" w:rsidR="00723B11" w:rsidRDefault="00723B11">
    <w:pPr>
      <w:pStyle w:val="DocID"/>
    </w:pPr>
    <w:r>
      <w:fldChar w:fldCharType="begin"/>
    </w:r>
    <w:r>
      <w:instrText xml:space="preserve">  DOCPROPERTY "CUS_DocIDChunk0" </w:instrText>
    </w:r>
    <w:r>
      <w:fldChar w:fldCharType="separate"/>
    </w:r>
    <w:r w:rsidR="00A92BA8">
      <w:t>304249255v1 1017143</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7939e667-0848-4169-8148-b812"/>
  <w:p w14:paraId="54979724" w14:textId="77777777" w:rsidR="00723B11" w:rsidRDefault="00723B11">
    <w:pPr>
      <w:pStyle w:val="DocID"/>
    </w:pPr>
    <w:r>
      <w:fldChar w:fldCharType="begin"/>
    </w:r>
    <w:r>
      <w:instrText xml:space="preserve">  DOCPROPERTY "CUS_DocIDChunk0" </w:instrText>
    </w:r>
    <w:r>
      <w:fldChar w:fldCharType="separate"/>
    </w:r>
    <w:r w:rsidR="00A92BA8">
      <w:t>304249255v1 1017143</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AD0C" w14:textId="77777777" w:rsidR="00723B11" w:rsidRDefault="00723B11" w:rsidP="00507C08">
    <w:pPr>
      <w:pStyle w:val="Footer"/>
      <w:tabs>
        <w:tab w:val="clear" w:pos="4320"/>
        <w:tab w:val="clear" w:pos="8640"/>
      </w:tabs>
    </w:pPr>
    <w:r>
      <w:rPr>
        <w:rStyle w:val="PageNumber"/>
      </w:rPr>
      <w:t>A-1</w:t>
    </w:r>
  </w:p>
  <w:bookmarkStart w:id="4" w:name="_iDocIDField8e13c74b-8fa6-4eda-b9f6-833a"/>
  <w:p w14:paraId="29F66A12" w14:textId="77777777" w:rsidR="00723B11" w:rsidRDefault="00723B11">
    <w:pPr>
      <w:pStyle w:val="DocID"/>
    </w:pPr>
    <w:r>
      <w:fldChar w:fldCharType="begin"/>
    </w:r>
    <w:r>
      <w:instrText xml:space="preserve">  DOCPROPERTY "CUS_DocIDChunk0" </w:instrText>
    </w:r>
    <w:r>
      <w:fldChar w:fldCharType="separate"/>
    </w:r>
    <w:r w:rsidR="00A92BA8">
      <w:t>304249255v1 1017143</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4E27" w14:textId="77777777" w:rsidR="00723B11" w:rsidRDefault="00723B11" w:rsidP="00D44816">
    <w:pPr>
      <w:pStyle w:val="Footer"/>
    </w:pPr>
    <w:r>
      <w:t>A-1</w:t>
    </w:r>
  </w:p>
  <w:bookmarkStart w:id="5" w:name="_iDocIDField2d3d758f-c31e-4b93-8af3-7563"/>
  <w:p w14:paraId="5143E17E" w14:textId="77777777" w:rsidR="00723B11" w:rsidRDefault="00723B11">
    <w:pPr>
      <w:pStyle w:val="DocID"/>
    </w:pPr>
    <w:r>
      <w:fldChar w:fldCharType="begin"/>
    </w:r>
    <w:r>
      <w:instrText xml:space="preserve">  DOCPROPERTY "CUS_DocIDChunk0" </w:instrText>
    </w:r>
    <w:r>
      <w:fldChar w:fldCharType="separate"/>
    </w:r>
    <w:r w:rsidR="00A92BA8">
      <w:t>304249255v1 1017143</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0FFC8" w14:textId="77777777" w:rsidR="00EF56A9" w:rsidRDefault="00EF56A9" w:rsidP="003D01FB">
      <w:r>
        <w:separator/>
      </w:r>
    </w:p>
  </w:footnote>
  <w:footnote w:type="continuationSeparator" w:id="0">
    <w:p w14:paraId="336C2E44" w14:textId="77777777" w:rsidR="00EF56A9" w:rsidRDefault="00EF56A9" w:rsidP="003D0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BA2C" w14:textId="77777777" w:rsidR="004E3F7C" w:rsidRDefault="00EF56A9">
    <w:pPr>
      <w:pStyle w:val="Header"/>
    </w:pPr>
  </w:p>
  <w:p w14:paraId="7EBCF4FC" w14:textId="77777777" w:rsidR="004E3F7C" w:rsidRDefault="00EF56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2BF2" w14:textId="77777777" w:rsidR="00210356" w:rsidRDefault="00210356">
    <w:pPr>
      <w:pStyle w:val="Header"/>
    </w:pPr>
  </w:p>
  <w:p w14:paraId="53C29112" w14:textId="77777777" w:rsidR="00210356" w:rsidRDefault="002103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1727" w14:textId="77777777" w:rsidR="00210356" w:rsidRDefault="002103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6DC0" w14:textId="77777777" w:rsidR="00210356" w:rsidRDefault="00210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212A"/>
    <w:multiLevelType w:val="multilevel"/>
    <w:tmpl w:val="246E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C1006"/>
    <w:multiLevelType w:val="hybridMultilevel"/>
    <w:tmpl w:val="0CFA13BA"/>
    <w:lvl w:ilvl="0" w:tplc="2F3447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327644"/>
    <w:multiLevelType w:val="multilevel"/>
    <w:tmpl w:val="326CC572"/>
    <w:lvl w:ilvl="0">
      <w:start w:val="1"/>
      <w:numFmt w:val="decimal"/>
      <w:pStyle w:val="Heading1"/>
      <w:lvlText w:val="%1."/>
      <w:lvlJc w:val="left"/>
      <w:pPr>
        <w:tabs>
          <w:tab w:val="num" w:pos="720"/>
        </w:tabs>
        <w:ind w:left="0" w:firstLine="720"/>
      </w:pPr>
      <w:rPr>
        <w:rFonts w:hint="default"/>
        <w:b w:val="0"/>
        <w:i w:val="0"/>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FB"/>
    <w:rsid w:val="00077FB0"/>
    <w:rsid w:val="000B255A"/>
    <w:rsid w:val="000B69E6"/>
    <w:rsid w:val="000B7C30"/>
    <w:rsid w:val="00102C05"/>
    <w:rsid w:val="001A618A"/>
    <w:rsid w:val="001A65A8"/>
    <w:rsid w:val="00210356"/>
    <w:rsid w:val="00272CEF"/>
    <w:rsid w:val="00303928"/>
    <w:rsid w:val="0033253B"/>
    <w:rsid w:val="003904E6"/>
    <w:rsid w:val="003D01FB"/>
    <w:rsid w:val="00445404"/>
    <w:rsid w:val="00462F3D"/>
    <w:rsid w:val="00523BF7"/>
    <w:rsid w:val="005A4944"/>
    <w:rsid w:val="005A4D04"/>
    <w:rsid w:val="006318B0"/>
    <w:rsid w:val="00723B11"/>
    <w:rsid w:val="00731649"/>
    <w:rsid w:val="00740102"/>
    <w:rsid w:val="00754B89"/>
    <w:rsid w:val="0078046F"/>
    <w:rsid w:val="00843C80"/>
    <w:rsid w:val="00847D71"/>
    <w:rsid w:val="008C7313"/>
    <w:rsid w:val="008D575A"/>
    <w:rsid w:val="00916A11"/>
    <w:rsid w:val="0095169C"/>
    <w:rsid w:val="00985857"/>
    <w:rsid w:val="009B256A"/>
    <w:rsid w:val="00A1617C"/>
    <w:rsid w:val="00A54A92"/>
    <w:rsid w:val="00A625F7"/>
    <w:rsid w:val="00A63558"/>
    <w:rsid w:val="00A92BA8"/>
    <w:rsid w:val="00B40624"/>
    <w:rsid w:val="00C06092"/>
    <w:rsid w:val="00C41AB5"/>
    <w:rsid w:val="00C52AC0"/>
    <w:rsid w:val="00C8569E"/>
    <w:rsid w:val="00D42622"/>
    <w:rsid w:val="00E71233"/>
    <w:rsid w:val="00EC011A"/>
    <w:rsid w:val="00EF56A9"/>
    <w:rsid w:val="00F354F1"/>
    <w:rsid w:val="00F97065"/>
    <w:rsid w:val="00FC0BF8"/>
    <w:rsid w:val="00FD2720"/>
    <w:rsid w:val="00FD695D"/>
    <w:rsid w:val="00FE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3AD1"/>
  <w15:docId w15:val="{F66E298A-E1C0-4B79-9444-2173F7D8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3D01FB"/>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rsid w:val="003D01FB"/>
    <w:pPr>
      <w:numPr>
        <w:numId w:val="1"/>
      </w:numPr>
      <w:spacing w:after="240"/>
      <w:outlineLvl w:val="0"/>
    </w:pPr>
    <w:rPr>
      <w:rFonts w:cs="Arial"/>
      <w:b/>
      <w:bCs/>
      <w:u w:val="single"/>
    </w:rPr>
  </w:style>
  <w:style w:type="paragraph" w:styleId="Heading2">
    <w:name w:val="heading 2"/>
    <w:basedOn w:val="Normal"/>
    <w:link w:val="Heading2Char"/>
    <w:rsid w:val="003D01FB"/>
    <w:pPr>
      <w:numPr>
        <w:ilvl w:val="1"/>
        <w:numId w:val="1"/>
      </w:numPr>
      <w:spacing w:after="240"/>
      <w:outlineLvl w:val="1"/>
    </w:pPr>
    <w:rPr>
      <w:rFonts w:cs="Arial"/>
      <w:bCs/>
      <w:iCs/>
    </w:rPr>
  </w:style>
  <w:style w:type="paragraph" w:styleId="Heading3">
    <w:name w:val="heading 3"/>
    <w:basedOn w:val="Normal"/>
    <w:link w:val="Heading3Char"/>
    <w:rsid w:val="003D01FB"/>
    <w:pPr>
      <w:numPr>
        <w:ilvl w:val="2"/>
        <w:numId w:val="1"/>
      </w:numPr>
      <w:spacing w:after="240"/>
      <w:outlineLvl w:val="2"/>
    </w:pPr>
    <w:rPr>
      <w:rFonts w:cs="Arial"/>
      <w:bCs/>
    </w:rPr>
  </w:style>
  <w:style w:type="paragraph" w:styleId="Heading4">
    <w:name w:val="heading 4"/>
    <w:basedOn w:val="Normal"/>
    <w:link w:val="Heading4Char"/>
    <w:rsid w:val="003D01FB"/>
    <w:pPr>
      <w:numPr>
        <w:ilvl w:val="3"/>
        <w:numId w:val="1"/>
      </w:numPr>
      <w:spacing w:after="240"/>
      <w:outlineLvl w:val="3"/>
    </w:pPr>
    <w:rPr>
      <w:bCs/>
    </w:rPr>
  </w:style>
  <w:style w:type="paragraph" w:styleId="Heading5">
    <w:name w:val="heading 5"/>
    <w:basedOn w:val="Normal"/>
    <w:link w:val="Heading5Char"/>
    <w:rsid w:val="003D01FB"/>
    <w:pPr>
      <w:numPr>
        <w:ilvl w:val="4"/>
        <w:numId w:val="1"/>
      </w:numPr>
      <w:spacing w:after="240"/>
      <w:outlineLvl w:val="4"/>
    </w:pPr>
    <w:rPr>
      <w:bCs/>
      <w:iCs/>
    </w:rPr>
  </w:style>
  <w:style w:type="paragraph" w:styleId="Heading6">
    <w:name w:val="heading 6"/>
    <w:basedOn w:val="Normal"/>
    <w:link w:val="Heading6Char"/>
    <w:rsid w:val="003D01FB"/>
    <w:pPr>
      <w:numPr>
        <w:ilvl w:val="5"/>
        <w:numId w:val="1"/>
      </w:numPr>
      <w:spacing w:after="240"/>
      <w:outlineLvl w:val="5"/>
    </w:pPr>
    <w:rPr>
      <w:bCs/>
    </w:rPr>
  </w:style>
  <w:style w:type="paragraph" w:styleId="Heading7">
    <w:name w:val="heading 7"/>
    <w:basedOn w:val="Normal"/>
    <w:link w:val="Heading7Char"/>
    <w:rsid w:val="003D01FB"/>
    <w:pPr>
      <w:numPr>
        <w:ilvl w:val="6"/>
        <w:numId w:val="1"/>
      </w:numPr>
      <w:spacing w:after="240"/>
      <w:outlineLvl w:val="6"/>
    </w:pPr>
  </w:style>
  <w:style w:type="paragraph" w:styleId="Heading8">
    <w:name w:val="heading 8"/>
    <w:basedOn w:val="Normal"/>
    <w:link w:val="Heading8Char"/>
    <w:rsid w:val="003D01FB"/>
    <w:pPr>
      <w:numPr>
        <w:ilvl w:val="7"/>
        <w:numId w:val="1"/>
      </w:numPr>
      <w:spacing w:after="240"/>
      <w:outlineLvl w:val="7"/>
    </w:pPr>
    <w:rPr>
      <w:iCs/>
    </w:rPr>
  </w:style>
  <w:style w:type="paragraph" w:styleId="Heading9">
    <w:name w:val="heading 9"/>
    <w:basedOn w:val="Normal"/>
    <w:link w:val="Heading9Char"/>
    <w:rsid w:val="003D01FB"/>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1FB"/>
    <w:rPr>
      <w:rFonts w:ascii="Times New Roman" w:eastAsia="Times New Roman" w:hAnsi="Times New Roman" w:cs="Arial"/>
      <w:b/>
      <w:bCs/>
      <w:sz w:val="24"/>
      <w:szCs w:val="24"/>
      <w:u w:val="single"/>
    </w:rPr>
  </w:style>
  <w:style w:type="character" w:customStyle="1" w:styleId="Heading2Char">
    <w:name w:val="Heading 2 Char"/>
    <w:basedOn w:val="DefaultParagraphFont"/>
    <w:link w:val="Heading2"/>
    <w:rsid w:val="003D01FB"/>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3D01FB"/>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3D01FB"/>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3D01FB"/>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3D01FB"/>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3D01F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01FB"/>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3D01FB"/>
    <w:rPr>
      <w:rFonts w:ascii="Times New Roman" w:eastAsia="Times New Roman" w:hAnsi="Times New Roman" w:cs="Arial"/>
      <w:sz w:val="24"/>
      <w:szCs w:val="24"/>
    </w:rPr>
  </w:style>
  <w:style w:type="paragraph" w:styleId="Header">
    <w:name w:val="header"/>
    <w:basedOn w:val="Normal"/>
    <w:link w:val="HeaderChar"/>
    <w:semiHidden/>
    <w:rsid w:val="003D01FB"/>
    <w:pPr>
      <w:tabs>
        <w:tab w:val="center" w:pos="4680"/>
        <w:tab w:val="right" w:pos="9360"/>
      </w:tabs>
    </w:pPr>
  </w:style>
  <w:style w:type="character" w:customStyle="1" w:styleId="HeaderChar">
    <w:name w:val="Header Char"/>
    <w:basedOn w:val="DefaultParagraphFont"/>
    <w:link w:val="Header"/>
    <w:semiHidden/>
    <w:rsid w:val="003D01F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D01FB"/>
    <w:pPr>
      <w:spacing w:after="120"/>
    </w:pPr>
  </w:style>
  <w:style w:type="character" w:customStyle="1" w:styleId="BodyTextChar">
    <w:name w:val="Body Text Char"/>
    <w:basedOn w:val="DefaultParagraphFont"/>
    <w:link w:val="BodyText"/>
    <w:uiPriority w:val="99"/>
    <w:semiHidden/>
    <w:rsid w:val="003D01FB"/>
    <w:rPr>
      <w:rFonts w:ascii="Times New Roman" w:eastAsia="Times New Roman" w:hAnsi="Times New Roman" w:cs="Times New Roman"/>
      <w:sz w:val="24"/>
      <w:szCs w:val="24"/>
    </w:rPr>
  </w:style>
  <w:style w:type="paragraph" w:styleId="BodyTextFirstIndent">
    <w:name w:val="Body Text First Indent"/>
    <w:basedOn w:val="Normal"/>
    <w:link w:val="BodyTextFirstIndentChar"/>
    <w:qFormat/>
    <w:rsid w:val="003D01FB"/>
    <w:pPr>
      <w:spacing w:after="240"/>
      <w:ind w:firstLine="720"/>
    </w:pPr>
  </w:style>
  <w:style w:type="character" w:customStyle="1" w:styleId="BodyTextFirstIndentChar">
    <w:name w:val="Body Text First Indent Char"/>
    <w:basedOn w:val="BodyTextChar"/>
    <w:link w:val="BodyTextFirstIndent"/>
    <w:rsid w:val="003D01FB"/>
    <w:rPr>
      <w:rFonts w:ascii="Times New Roman" w:eastAsia="Times New Roman" w:hAnsi="Times New Roman" w:cs="Times New Roman"/>
      <w:sz w:val="24"/>
      <w:szCs w:val="24"/>
    </w:rPr>
  </w:style>
  <w:style w:type="paragraph" w:styleId="Footer">
    <w:name w:val="footer"/>
    <w:basedOn w:val="Normal"/>
    <w:link w:val="FooterChar"/>
    <w:uiPriority w:val="99"/>
    <w:rsid w:val="003D01FB"/>
    <w:pPr>
      <w:tabs>
        <w:tab w:val="center" w:pos="4320"/>
        <w:tab w:val="right" w:pos="8640"/>
      </w:tabs>
      <w:jc w:val="center"/>
    </w:pPr>
  </w:style>
  <w:style w:type="character" w:customStyle="1" w:styleId="FooterChar">
    <w:name w:val="Footer Char"/>
    <w:basedOn w:val="DefaultParagraphFont"/>
    <w:link w:val="Footer"/>
    <w:uiPriority w:val="99"/>
    <w:rsid w:val="003D01FB"/>
    <w:rPr>
      <w:rFonts w:ascii="Times New Roman" w:eastAsia="Times New Roman" w:hAnsi="Times New Roman" w:cs="Times New Roman"/>
      <w:sz w:val="24"/>
      <w:szCs w:val="24"/>
    </w:rPr>
  </w:style>
  <w:style w:type="table" w:styleId="TableGrid">
    <w:name w:val="Table Grid"/>
    <w:basedOn w:val="TableNormal"/>
    <w:rsid w:val="003D01FB"/>
    <w:pPr>
      <w:spacing w:after="24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49"/>
    <w:semiHidden/>
    <w:rsid w:val="003D01FB"/>
    <w:rPr>
      <w:rFonts w:ascii="Times New Roman" w:hAnsi="Times New Roman"/>
      <w:sz w:val="24"/>
    </w:rPr>
  </w:style>
  <w:style w:type="paragraph" w:customStyle="1" w:styleId="DocID">
    <w:name w:val="DocID"/>
    <w:basedOn w:val="Footer"/>
    <w:next w:val="Footer"/>
    <w:link w:val="DocIDChar"/>
    <w:rsid w:val="00723B11"/>
    <w:pPr>
      <w:tabs>
        <w:tab w:val="clear" w:pos="4320"/>
        <w:tab w:val="clear" w:pos="8640"/>
      </w:tabs>
      <w:jc w:val="right"/>
    </w:pPr>
    <w:rPr>
      <w:caps/>
      <w:sz w:val="16"/>
    </w:rPr>
  </w:style>
  <w:style w:type="paragraph" w:customStyle="1" w:styleId="TITLEBOLD">
    <w:name w:val="TITLE BOLD"/>
    <w:basedOn w:val="Normal"/>
    <w:next w:val="BodyTextFirstIndent"/>
    <w:uiPriority w:val="3"/>
    <w:qFormat/>
    <w:rsid w:val="003D01FB"/>
    <w:pPr>
      <w:keepNext/>
      <w:spacing w:after="240"/>
      <w:jc w:val="center"/>
    </w:pPr>
    <w:rPr>
      <w:b/>
      <w:caps/>
    </w:rPr>
  </w:style>
  <w:style w:type="character" w:customStyle="1" w:styleId="NoSpacingChar">
    <w:name w:val="No Spacing Char"/>
    <w:basedOn w:val="DefaultParagraphFont"/>
    <w:link w:val="NoSpacing"/>
    <w:uiPriority w:val="1"/>
    <w:rsid w:val="00723B11"/>
    <w:rPr>
      <w:rFonts w:ascii="Times New Roman" w:eastAsia="Times New Roman" w:hAnsi="Times New Roman" w:cs="Times New Roman"/>
      <w:sz w:val="24"/>
      <w:szCs w:val="24"/>
    </w:rPr>
  </w:style>
  <w:style w:type="paragraph" w:styleId="NoSpacing">
    <w:name w:val="No Spacing"/>
    <w:link w:val="NoSpacingChar"/>
    <w:uiPriority w:val="1"/>
    <w:qFormat/>
    <w:rsid w:val="00C41AB5"/>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0356"/>
    <w:rPr>
      <w:rFonts w:ascii="Tahoma" w:hAnsi="Tahoma" w:cs="Tahoma"/>
      <w:sz w:val="16"/>
      <w:szCs w:val="16"/>
    </w:rPr>
  </w:style>
  <w:style w:type="character" w:customStyle="1" w:styleId="BalloonTextChar">
    <w:name w:val="Balloon Text Char"/>
    <w:basedOn w:val="DefaultParagraphFont"/>
    <w:link w:val="BalloonText"/>
    <w:uiPriority w:val="99"/>
    <w:semiHidden/>
    <w:rsid w:val="00210356"/>
    <w:rPr>
      <w:rFonts w:ascii="Tahoma" w:eastAsia="Times New Roman" w:hAnsi="Tahoma" w:cs="Tahoma"/>
      <w:sz w:val="16"/>
      <w:szCs w:val="16"/>
    </w:rPr>
  </w:style>
  <w:style w:type="character" w:customStyle="1" w:styleId="DocIDChar">
    <w:name w:val="DocID Char"/>
    <w:basedOn w:val="NoSpacingChar"/>
    <w:link w:val="DocID"/>
    <w:rsid w:val="00723B11"/>
    <w:rPr>
      <w:rFonts w:ascii="Times New Roman" w:eastAsia="Times New Roman" w:hAnsi="Times New Roman" w:cs="Times New Roman"/>
      <w:cap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01689">
      <w:bodyDiv w:val="1"/>
      <w:marLeft w:val="0"/>
      <w:marRight w:val="0"/>
      <w:marTop w:val="0"/>
      <w:marBottom w:val="0"/>
      <w:divBdr>
        <w:top w:val="none" w:sz="0" w:space="0" w:color="auto"/>
        <w:left w:val="none" w:sz="0" w:space="0" w:color="auto"/>
        <w:bottom w:val="none" w:sz="0" w:space="0" w:color="auto"/>
        <w:right w:val="none" w:sz="0" w:space="0" w:color="auto"/>
      </w:divBdr>
    </w:div>
    <w:div w:id="1535852082">
      <w:bodyDiv w:val="1"/>
      <w:marLeft w:val="0"/>
      <w:marRight w:val="0"/>
      <w:marTop w:val="0"/>
      <w:marBottom w:val="0"/>
      <w:divBdr>
        <w:top w:val="none" w:sz="0" w:space="0" w:color="auto"/>
        <w:left w:val="none" w:sz="0" w:space="0" w:color="auto"/>
        <w:bottom w:val="none" w:sz="0" w:space="0" w:color="auto"/>
        <w:right w:val="none" w:sz="0" w:space="0" w:color="auto"/>
      </w:divBdr>
    </w:div>
    <w:div w:id="20916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Hinshaw &amp; Culbertson LLP</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Alworth, Mimi</dc:creator>
  <cp:keywords/>
  <dc:description/>
  <cp:lastModifiedBy>Jodi Fulmer</cp:lastModifiedBy>
  <cp:revision>2</cp:revision>
  <cp:lastPrinted>2019-08-27T18:29:00Z</cp:lastPrinted>
  <dcterms:created xsi:type="dcterms:W3CDTF">2021-01-19T19:14:00Z</dcterms:created>
  <dcterms:modified xsi:type="dcterms:W3CDTF">2021-01-19T19:14:00Z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304249255v1 1017143</vt:lpwstr>
  </property>
  <property fmtid="{D5CDD505-2E9C-101B-9397-08002B2CF9AE}" pid="3" name="CUS_DocIDChunk0">
    <vt:lpwstr>304249255v1 1017143</vt:lpwstr>
  </property>
  <property fmtid="{D5CDD505-2E9C-101B-9397-08002B2CF9AE}" pid="4" name="CUS_DocIDActiveBits">
    <vt:lpwstr>360448</vt:lpwstr>
  </property>
  <property fmtid="{D5CDD505-2E9C-101B-9397-08002B2CF9AE}" pid="5" name="CUS_DocIDLocation">
    <vt:lpwstr>EVERY_PAGE</vt:lpwstr>
  </property>
</Properties>
</file>